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right"/>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冀教职成函〔202</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42</w:t>
      </w:r>
      <w:r>
        <w:rPr>
          <w:rFonts w:hint="eastAsia" w:ascii="仿宋" w:hAnsi="仿宋" w:eastAsia="仿宋" w:cs="仿宋"/>
          <w:color w:val="auto"/>
          <w:sz w:val="32"/>
          <w:szCs w:val="32"/>
          <w:lang w:eastAsia="zh-CN"/>
        </w:rPr>
        <w:t>号</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河北省教育厅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关于印发《河北省推进职业教育数字教学资源</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center"/>
        <w:textAlignment w:val="auto"/>
        <w:outlineLvl w:val="9"/>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建设方案》的通知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both"/>
        <w:textAlignment w:val="auto"/>
        <w:outlineLvl w:val="9"/>
        <w:rPr>
          <w:rFonts w:hint="eastAsia"/>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各市（含辛集、定州市）教育局、雄安新区公共服务局，省属职业院校：</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现将《</w:t>
      </w:r>
      <w:r>
        <w:rPr>
          <w:rFonts w:hint="eastAsia" w:ascii="仿宋" w:hAnsi="仿宋" w:eastAsia="仿宋" w:cs="仿宋"/>
          <w:color w:val="auto"/>
          <w:sz w:val="32"/>
          <w:szCs w:val="32"/>
          <w:lang w:eastAsia="zh-CN"/>
        </w:rPr>
        <w:t>河北省推进职业教育数字教学资源建设方案》印发你们，请结合本地本单位实际，认真贯彻落实。</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附件：河北省推进职业教育数字教学资源建设方案</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河北省教育厅</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2021年7月26日</w:t>
      </w:r>
    </w:p>
    <w:p>
      <w:pPr>
        <w:keepNext w:val="0"/>
        <w:keepLines w:val="0"/>
        <w:pageBreakBefore w:val="0"/>
        <w:widowControl w:val="0"/>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640"/>
        <w:jc w:val="both"/>
        <w:textAlignment w:val="auto"/>
        <w:rPr>
          <w:rFonts w:hint="eastAsia" w:ascii="仿宋" w:hAnsi="仿宋" w:eastAsia="仿宋" w:cs="仿宋"/>
          <w:color w:val="auto"/>
          <w:sz w:val="32"/>
          <w:szCs w:val="32"/>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79" w:lineRule="exact"/>
        <w:ind w:left="0" w:leftChars="0" w:right="0" w:rightChars="0"/>
        <w:jc w:val="left"/>
        <w:textAlignment w:val="auto"/>
        <w:rPr>
          <w:rFonts w:hint="eastAsia" w:ascii="黑体" w:hAnsi="黑体" w:eastAsia="黑体" w:cs="黑体"/>
          <w:b/>
          <w:bCs/>
          <w:color w:val="auto"/>
          <w:sz w:val="32"/>
          <w:szCs w:val="32"/>
          <w:lang w:eastAsia="zh-CN"/>
        </w:rPr>
      </w:pPr>
      <w:r>
        <w:rPr>
          <w:rFonts w:hint="eastAsia" w:ascii="黑体" w:hAnsi="黑体" w:eastAsia="黑体" w:cs="黑体"/>
          <w:b w:val="0"/>
          <w:bCs w:val="0"/>
          <w:color w:val="auto"/>
          <w:sz w:val="32"/>
          <w:szCs w:val="32"/>
          <w:lang w:eastAsia="zh-CN"/>
        </w:rPr>
        <w:t>附件</w:t>
      </w:r>
    </w:p>
    <w:p>
      <w:pPr>
        <w:keepNext w:val="0"/>
        <w:keepLines w:val="0"/>
        <w:pageBreakBefore w:val="0"/>
        <w:kinsoku/>
        <w:wordWrap/>
        <w:overflowPunct/>
        <w:topLinePunct w:val="0"/>
        <w:autoSpaceDE/>
        <w:autoSpaceDN/>
        <w:bidi w:val="0"/>
        <w:adjustRightInd/>
        <w:snapToGrid/>
        <w:spacing w:line="579" w:lineRule="exact"/>
        <w:ind w:left="0" w:leftChars="0" w:right="0" w:rightChars="0"/>
        <w:jc w:val="left"/>
        <w:textAlignment w:val="auto"/>
        <w:rPr>
          <w:rFonts w:hint="eastAsia" w:ascii="黑体" w:hAnsi="黑体" w:eastAsia="黑体" w:cs="黑体"/>
          <w:b/>
          <w:bCs/>
          <w:color w:val="auto"/>
          <w:sz w:val="32"/>
          <w:szCs w:val="32"/>
          <w:lang w:eastAsia="zh-CN"/>
        </w:rPr>
      </w:pPr>
    </w:p>
    <w:p>
      <w:pPr>
        <w:keepNext w:val="0"/>
        <w:keepLines w:val="0"/>
        <w:pageBreakBefore w:val="0"/>
        <w:kinsoku/>
        <w:wordWrap/>
        <w:overflowPunct/>
        <w:topLinePunct w:val="0"/>
        <w:autoSpaceDE/>
        <w:autoSpaceDN/>
        <w:bidi w:val="0"/>
        <w:adjustRightInd/>
        <w:snapToGrid/>
        <w:spacing w:line="579" w:lineRule="exact"/>
        <w:ind w:left="0" w:leftChars="0" w:right="0" w:rightChars="0"/>
        <w:jc w:val="center"/>
        <w:textAlignment w:val="auto"/>
        <w:rPr>
          <w:rFonts w:hint="eastAsia" w:ascii="方正小标宋_GBK" w:hAnsi="方正小标宋_GBK" w:eastAsia="方正小标宋_GBK" w:cs="方正小标宋_GBK"/>
          <w:b w:val="0"/>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eastAsia="zh-CN"/>
        </w:rPr>
        <w:t>河北省推进职业教育数字教学资源建设方案</w:t>
      </w:r>
    </w:p>
    <w:p>
      <w:pPr>
        <w:keepNext w:val="0"/>
        <w:keepLines w:val="0"/>
        <w:pageBreakBefore w:val="0"/>
        <w:kinsoku/>
        <w:wordWrap/>
        <w:overflowPunct/>
        <w:topLinePunct w:val="0"/>
        <w:autoSpaceDE/>
        <w:autoSpaceDN/>
        <w:bidi w:val="0"/>
        <w:adjustRightInd/>
        <w:snapToGrid/>
        <w:spacing w:line="579" w:lineRule="exact"/>
        <w:ind w:left="0" w:leftChars="0" w:right="0" w:rightChars="0"/>
        <w:jc w:val="both"/>
        <w:textAlignment w:val="auto"/>
        <w:rPr>
          <w:rFonts w:hint="eastAsia" w:ascii="新宋体" w:hAnsi="新宋体" w:eastAsia="新宋体" w:cs="新宋体"/>
          <w:b/>
          <w:bCs/>
          <w:color w:val="auto"/>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为深入贯彻全国职业教育大会精神，全面落实《国家职业教育改革实施方案》、教育部等九部门印发的《职业教育提质培优行动计划（2020—2023年）》，经研究，制定本方案。</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2"/>
        <w:jc w:val="both"/>
        <w:textAlignment w:val="auto"/>
        <w:rPr>
          <w:rFonts w:hint="eastAsia" w:ascii="黑体" w:hAnsi="黑体" w:eastAsia="黑体" w:cs="黑体"/>
          <w:color w:val="auto"/>
          <w:sz w:val="32"/>
          <w:szCs w:val="32"/>
          <w:shd w:val="clear" w:fill="FFFFFF"/>
          <w:lang w:val="en-US" w:eastAsia="zh-CN"/>
        </w:rPr>
      </w:pPr>
      <w:r>
        <w:rPr>
          <w:rFonts w:hint="eastAsia" w:ascii="黑体" w:hAnsi="黑体" w:eastAsia="黑体" w:cs="黑体"/>
          <w:color w:val="auto"/>
          <w:sz w:val="32"/>
          <w:szCs w:val="32"/>
          <w:shd w:val="clear" w:fill="FFFFFF"/>
          <w:lang w:val="en-US" w:eastAsia="zh-CN"/>
        </w:rPr>
        <w:t>指导思想</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引导职业院校主动适应科技革命和产业革命要求，对接各领域岗位数字化、网络化、智能化发展趋势，深化“三教”改革，探索建立政府引导、市场参与的职业教育数字教学资源共建共享机制，加快职业教育数字教学资源（以下简称“数字资源”）开发建设与积累应用，形成</w:t>
      </w:r>
      <w:r>
        <w:rPr>
          <w:rFonts w:hint="default" w:ascii="Times New Roman" w:hAnsi="Times New Roman" w:eastAsia="仿宋_GB2312" w:cstheme="minorBidi"/>
          <w:color w:val="auto"/>
          <w:kern w:val="2"/>
          <w:sz w:val="32"/>
          <w:szCs w:val="32"/>
          <w:lang w:val="en-US" w:eastAsia="zh-CN" w:bidi="ar-SA"/>
        </w:rPr>
        <w:t>国家、省、校三级互补的优质</w:t>
      </w:r>
      <w:r>
        <w:rPr>
          <w:rFonts w:hint="eastAsia" w:ascii="Times New Roman" w:hAnsi="Times New Roman" w:eastAsia="仿宋_GB2312" w:cstheme="minorBidi"/>
          <w:color w:val="auto"/>
          <w:kern w:val="2"/>
          <w:sz w:val="32"/>
          <w:szCs w:val="32"/>
          <w:lang w:val="en-US" w:eastAsia="zh-CN" w:bidi="ar-SA"/>
        </w:rPr>
        <w:t>数字</w:t>
      </w:r>
      <w:r>
        <w:rPr>
          <w:rFonts w:hint="default" w:ascii="Times New Roman" w:hAnsi="Times New Roman" w:eastAsia="仿宋_GB2312" w:cstheme="minorBidi"/>
          <w:color w:val="auto"/>
          <w:kern w:val="2"/>
          <w:sz w:val="32"/>
          <w:szCs w:val="32"/>
          <w:lang w:val="en-US" w:eastAsia="zh-CN" w:bidi="ar-SA"/>
        </w:rPr>
        <w:t>资源共建共享体系</w:t>
      </w:r>
      <w:r>
        <w:rPr>
          <w:rFonts w:hint="eastAsia" w:ascii="Times New Roman" w:hAnsi="Times New Roman" w:eastAsia="仿宋_GB2312" w:cstheme="minorBidi"/>
          <w:color w:val="auto"/>
          <w:kern w:val="2"/>
          <w:sz w:val="32"/>
          <w:szCs w:val="32"/>
          <w:lang w:val="en-US" w:eastAsia="zh-CN" w:bidi="ar-SA"/>
        </w:rPr>
        <w:t>，健全职业教育线上数字资源，满足学生及社会成员对职业教育的多样化学习需求，为促进社会经济发展提供优质的职业教育服务。</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default" w:ascii="Times New Roman" w:hAnsi="Times New Roman" w:eastAsia="仿宋_GB2312" w:cstheme="minorBidi"/>
          <w:color w:val="auto"/>
          <w:kern w:val="2"/>
          <w:sz w:val="32"/>
          <w:szCs w:val="32"/>
          <w:lang w:val="en-US" w:eastAsia="zh-CN" w:bidi="ar-SA"/>
        </w:rPr>
        <w:t>充分发挥</w:t>
      </w:r>
      <w:r>
        <w:rPr>
          <w:rFonts w:hint="eastAsia" w:ascii="Times New Roman" w:hAnsi="Times New Roman" w:eastAsia="仿宋_GB2312" w:cstheme="minorBidi"/>
          <w:color w:val="auto"/>
          <w:kern w:val="2"/>
          <w:sz w:val="32"/>
          <w:szCs w:val="32"/>
          <w:lang w:val="en-US" w:eastAsia="zh-CN" w:bidi="ar-SA"/>
        </w:rPr>
        <w:t>优质数字资源</w:t>
      </w:r>
      <w:r>
        <w:rPr>
          <w:rFonts w:hint="default" w:ascii="Times New Roman" w:hAnsi="Times New Roman" w:eastAsia="仿宋_GB2312" w:cstheme="minorBidi"/>
          <w:color w:val="auto"/>
          <w:kern w:val="2"/>
          <w:sz w:val="32"/>
          <w:szCs w:val="32"/>
          <w:lang w:val="en-US" w:eastAsia="zh-CN" w:bidi="ar-SA"/>
        </w:rPr>
        <w:t>在提高人才培养质量中的基础性作用，</w:t>
      </w:r>
      <w:r>
        <w:rPr>
          <w:rFonts w:hint="eastAsia" w:ascii="Times New Roman" w:hAnsi="Times New Roman" w:eastAsia="仿宋_GB2312" w:cstheme="minorBidi"/>
          <w:color w:val="auto"/>
          <w:kern w:val="2"/>
          <w:sz w:val="32"/>
          <w:szCs w:val="32"/>
          <w:lang w:val="en-US" w:eastAsia="zh-CN" w:bidi="ar-SA"/>
        </w:rPr>
        <w:t>从数字科技阶段、数字化全面转型、数字岗位需求、数字化职业能力、数字化知识结构的逻辑出发，推进职业院校专业升级和数字化改造，推动职业院校“课堂革命”，契合数字经济时代，培养具有数字素养的技术技能人才。</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0" w:firstLineChars="0"/>
        <w:jc w:val="both"/>
        <w:textAlignment w:val="auto"/>
        <w:rPr>
          <w:rFonts w:hint="eastAsia" w:ascii="黑体" w:hAnsi="黑体" w:eastAsia="黑体" w:cs="黑体"/>
          <w:b w:val="0"/>
          <w:bCs w:val="0"/>
          <w:color w:val="auto"/>
          <w:sz w:val="32"/>
          <w:szCs w:val="32"/>
          <w:shd w:val="clear" w:fill="FFFFFF"/>
          <w:lang w:val="en-US" w:eastAsia="zh-CN"/>
        </w:rPr>
      </w:pPr>
      <w:r>
        <w:rPr>
          <w:rFonts w:hint="eastAsia" w:ascii="黑体" w:hAnsi="黑体" w:eastAsia="黑体" w:cs="黑体"/>
          <w:b w:val="0"/>
          <w:bCs w:val="0"/>
          <w:color w:val="auto"/>
          <w:sz w:val="32"/>
          <w:szCs w:val="32"/>
          <w:shd w:val="clear" w:fill="FFFFFF"/>
          <w:lang w:val="en-US" w:eastAsia="zh-CN"/>
        </w:rPr>
        <w:t>组织领导</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default"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省级教育行政部门指导市级教育行政部门及职业院校，贯彻落实国家职业教育专业教学资源库（以下简称“资源库”）、精品在线课程（以下简称“精品课程”）、教材、虚拟仿真实训等类数字资源建设的工作部署，推进河北省数字资源建设与应用，</w:t>
      </w:r>
      <w:r>
        <w:rPr>
          <w:rFonts w:hint="default" w:ascii="Times New Roman" w:hAnsi="Times New Roman" w:eastAsia="仿宋_GB2312" w:cstheme="minorBidi"/>
          <w:color w:val="auto"/>
          <w:kern w:val="2"/>
          <w:sz w:val="32"/>
          <w:szCs w:val="32"/>
          <w:lang w:val="en-US" w:eastAsia="zh-CN" w:bidi="ar-SA"/>
        </w:rPr>
        <w:t>完善以用促建的长效机制，</w:t>
      </w:r>
      <w:r>
        <w:rPr>
          <w:rFonts w:hint="eastAsia" w:ascii="Times New Roman" w:hAnsi="Times New Roman" w:eastAsia="仿宋_GB2312" w:cstheme="minorBidi"/>
          <w:color w:val="auto"/>
          <w:kern w:val="2"/>
          <w:sz w:val="32"/>
          <w:szCs w:val="32"/>
          <w:lang w:val="en-US" w:eastAsia="zh-CN" w:bidi="ar-SA"/>
        </w:rPr>
        <w:t>探索市场参与的共建共享机制</w:t>
      </w:r>
      <w:r>
        <w:rPr>
          <w:rFonts w:hint="default" w:ascii="Times New Roman" w:hAnsi="Times New Roman" w:eastAsia="仿宋_GB2312" w:cstheme="minorBidi"/>
          <w:color w:val="auto"/>
          <w:kern w:val="2"/>
          <w:sz w:val="32"/>
          <w:szCs w:val="32"/>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在省</w:t>
      </w:r>
      <w:r>
        <w:rPr>
          <w:rFonts w:hint="eastAsia" w:ascii="仿宋" w:hAnsi="仿宋" w:eastAsia="仿宋" w:cs="仿宋"/>
          <w:color w:val="auto"/>
          <w:kern w:val="0"/>
          <w:sz w:val="32"/>
          <w:szCs w:val="32"/>
          <w:shd w:val="clear" w:fill="FFFFFF"/>
          <w:lang w:val="en-US" w:eastAsia="zh-CN" w:bidi="ar"/>
        </w:rPr>
        <w:t>级</w:t>
      </w:r>
      <w:r>
        <w:rPr>
          <w:rFonts w:hint="eastAsia" w:ascii="Times New Roman" w:hAnsi="Times New Roman" w:eastAsia="仿宋_GB2312" w:cstheme="minorBidi"/>
          <w:color w:val="auto"/>
          <w:kern w:val="2"/>
          <w:sz w:val="32"/>
          <w:szCs w:val="32"/>
          <w:lang w:val="en-US" w:eastAsia="zh-CN" w:bidi="ar-SA"/>
        </w:rPr>
        <w:t>教育行政部门指导下，由河北省职业院校信息化教学指导委员会和职业教育学会信息化工作委员会遴选专家，组建河北省职业教育数字教学资源评审委员会，对河北省职业院校数字教学资源建设项目提供建设指导、咨询服务、评审验收、推广应用。评审委员会设立秘书处和监督组。</w:t>
      </w:r>
    </w:p>
    <w:p>
      <w:pPr>
        <w:keepNext w:val="0"/>
        <w:keepLines w:val="0"/>
        <w:pageBreakBefore w:val="0"/>
        <w:numPr>
          <w:ilvl w:val="0"/>
          <w:numId w:val="1"/>
        </w:numPr>
        <w:kinsoku/>
        <w:wordWrap/>
        <w:overflowPunct/>
        <w:topLinePunct w:val="0"/>
        <w:autoSpaceDE/>
        <w:autoSpaceDN/>
        <w:bidi w:val="0"/>
        <w:adjustRightInd/>
        <w:snapToGrid/>
        <w:spacing w:line="579" w:lineRule="exact"/>
        <w:ind w:left="0" w:leftChars="0" w:right="0" w:rightChars="0" w:firstLine="640" w:firstLineChars="0"/>
        <w:jc w:val="both"/>
        <w:textAlignment w:val="auto"/>
        <w:rPr>
          <w:rFonts w:hint="eastAsia" w:ascii="黑体" w:hAnsi="黑体" w:eastAsia="黑体" w:cs="黑体"/>
          <w:color w:val="auto"/>
          <w:sz w:val="32"/>
          <w:szCs w:val="32"/>
          <w:shd w:val="clear" w:fill="FFFFFF"/>
          <w:lang w:val="en-US" w:eastAsia="zh-CN"/>
        </w:rPr>
      </w:pPr>
      <w:r>
        <w:rPr>
          <w:rFonts w:hint="eastAsia" w:ascii="黑体" w:hAnsi="黑体" w:eastAsia="黑体" w:cs="黑体"/>
          <w:color w:val="auto"/>
          <w:sz w:val="32"/>
          <w:szCs w:val="32"/>
          <w:shd w:val="clear" w:fill="FFFFFF"/>
          <w:lang w:val="en-US" w:eastAsia="zh-CN"/>
        </w:rPr>
        <w:t>重点工作</w:t>
      </w:r>
    </w:p>
    <w:p>
      <w:pPr>
        <w:keepNext w:val="0"/>
        <w:keepLines w:val="0"/>
        <w:pageBreakBefore w:val="0"/>
        <w:numPr>
          <w:ilvl w:val="0"/>
          <w:numId w:val="2"/>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建设职业教育专业教学资源库</w:t>
      </w:r>
    </w:p>
    <w:p>
      <w:pPr>
        <w:pStyle w:val="3"/>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仿宋" w:hAnsi="仿宋" w:eastAsia="仿宋" w:cs="仿宋"/>
          <w:color w:val="auto"/>
          <w:sz w:val="32"/>
          <w:szCs w:val="32"/>
          <w:shd w:val="clear" w:fill="FFFFFF"/>
          <w:lang w:val="en-US" w:eastAsia="zh-CN"/>
        </w:rPr>
      </w:pPr>
      <w:r>
        <w:rPr>
          <w:rFonts w:hint="eastAsia" w:ascii="仿宋" w:hAnsi="仿宋" w:eastAsia="仿宋" w:cs="仿宋"/>
          <w:color w:val="auto"/>
          <w:sz w:val="32"/>
          <w:szCs w:val="32"/>
          <w:shd w:val="clear" w:fill="FFFFFF"/>
          <w:lang w:val="en-US" w:eastAsia="zh-CN"/>
        </w:rPr>
        <w:t xml:space="preserve"> </w:t>
      </w:r>
      <w:r>
        <w:rPr>
          <w:rFonts w:hint="eastAsia" w:ascii="Times New Roman" w:hAnsi="Times New Roman" w:eastAsia="仿宋_GB2312" w:cstheme="minorBidi"/>
          <w:color w:val="auto"/>
          <w:kern w:val="2"/>
          <w:sz w:val="32"/>
          <w:szCs w:val="32"/>
          <w:lang w:val="en-US" w:eastAsia="zh-CN" w:bidi="ar-SA"/>
        </w:rPr>
        <w:t xml:space="preserve">   1.资源库是以</w:t>
      </w:r>
      <w:r>
        <w:rPr>
          <w:rFonts w:ascii="Times New Roman" w:hAnsi="Times New Roman" w:eastAsia="仿宋_GB2312" w:cstheme="minorBidi"/>
          <w:color w:val="auto"/>
          <w:kern w:val="2"/>
          <w:sz w:val="32"/>
          <w:szCs w:val="32"/>
          <w:lang w:val="en-US" w:eastAsia="zh-CN" w:bidi="ar-SA"/>
        </w:rPr>
        <w:t>颗粒化资源</w:t>
      </w:r>
      <w:r>
        <w:rPr>
          <w:rFonts w:hint="eastAsia" w:ascii="Times New Roman" w:hAnsi="Times New Roman" w:eastAsia="仿宋_GB2312" w:cstheme="minorBidi"/>
          <w:color w:val="auto"/>
          <w:kern w:val="2"/>
          <w:sz w:val="32"/>
          <w:szCs w:val="32"/>
          <w:lang w:val="en-US" w:eastAsia="zh-CN" w:bidi="ar-SA"/>
        </w:rPr>
        <w:t>为</w:t>
      </w:r>
      <w:r>
        <w:rPr>
          <w:rFonts w:ascii="Times New Roman" w:hAnsi="Times New Roman" w:eastAsia="仿宋_GB2312" w:cstheme="minorBidi"/>
          <w:color w:val="auto"/>
          <w:kern w:val="2"/>
          <w:sz w:val="32"/>
          <w:szCs w:val="32"/>
          <w:lang w:val="en-US" w:eastAsia="zh-CN" w:bidi="ar-SA"/>
        </w:rPr>
        <w:t>基础</w:t>
      </w:r>
      <w:r>
        <w:rPr>
          <w:rFonts w:hint="eastAsia" w:ascii="Times New Roman" w:hAnsi="Times New Roman" w:eastAsia="仿宋_GB2312" w:cstheme="minorBidi"/>
          <w:color w:val="auto"/>
          <w:kern w:val="2"/>
          <w:sz w:val="32"/>
          <w:szCs w:val="32"/>
          <w:lang w:val="en-US" w:eastAsia="zh-CN" w:bidi="ar-SA"/>
        </w:rPr>
        <w:t>，有序整合各种专业数字教学资源的综合体。资源库功能定位于“能学、辅教”，服务</w:t>
      </w:r>
      <w:r>
        <w:rPr>
          <w:rFonts w:ascii="Times New Roman" w:hAnsi="Times New Roman" w:eastAsia="仿宋_GB2312" w:cstheme="minorBidi"/>
          <w:color w:val="auto"/>
          <w:kern w:val="2"/>
          <w:sz w:val="32"/>
          <w:szCs w:val="32"/>
          <w:lang w:val="en-US" w:eastAsia="zh-CN" w:bidi="ar-SA"/>
        </w:rPr>
        <w:t>学生</w:t>
      </w:r>
      <w:r>
        <w:rPr>
          <w:rFonts w:hint="eastAsia" w:ascii="Times New Roman" w:hAnsi="Times New Roman" w:eastAsia="仿宋_GB2312" w:cstheme="minorBidi"/>
          <w:color w:val="auto"/>
          <w:kern w:val="2"/>
          <w:sz w:val="32"/>
          <w:szCs w:val="32"/>
          <w:lang w:val="en-US" w:eastAsia="zh-CN" w:bidi="ar-SA"/>
        </w:rPr>
        <w:t>、教师、企业员工和社会学习者自主选择进行系统化、个性化的学习，服务教师利用资源库灵活组织教学和培训内容，辅助教学实施，服务复合型技术技能人才培养培训。</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firstLineChars="200"/>
        <w:textAlignment w:val="auto"/>
        <w:rPr>
          <w:rFonts w:ascii="Times New Roman" w:hAnsi="Times New Roman" w:eastAsia="仿宋_GB2312"/>
          <w:color w:val="auto"/>
          <w:sz w:val="32"/>
          <w:szCs w:val="32"/>
        </w:rPr>
      </w:pPr>
      <w:r>
        <w:rPr>
          <w:rFonts w:hint="eastAsia" w:ascii="仿宋" w:hAnsi="仿宋" w:eastAsia="仿宋" w:cs="仿宋"/>
          <w:color w:val="auto"/>
          <w:sz w:val="32"/>
          <w:szCs w:val="32"/>
          <w:shd w:val="clear" w:fill="FFFFFF"/>
          <w:lang w:val="en-US" w:eastAsia="zh-CN"/>
        </w:rPr>
        <w:t>2.</w:t>
      </w:r>
      <w:r>
        <w:rPr>
          <w:rFonts w:hint="eastAsia" w:ascii="Times New Roman" w:hAnsi="Times New Roman" w:eastAsia="仿宋_GB2312"/>
          <w:color w:val="auto"/>
          <w:sz w:val="32"/>
          <w:szCs w:val="32"/>
          <w:lang w:val="en-US" w:eastAsia="zh-CN"/>
        </w:rPr>
        <w:t>资源库应包括</w:t>
      </w:r>
      <w:r>
        <w:rPr>
          <w:rFonts w:ascii="Times New Roman" w:hAnsi="Times New Roman" w:eastAsia="仿宋_GB2312"/>
          <w:color w:val="auto"/>
          <w:sz w:val="32"/>
          <w:szCs w:val="32"/>
        </w:rPr>
        <w:t>涵盖专业教学标准规定内容、覆盖专业基本知识点和技能点，颗粒化程度较高、表现形式恰当，能够支撑标准化课程的资源</w:t>
      </w:r>
      <w:r>
        <w:rPr>
          <w:rFonts w:hint="eastAsia" w:ascii="Times New Roman" w:hAnsi="Times New Roman" w:eastAsia="仿宋_GB2312"/>
          <w:color w:val="auto"/>
          <w:sz w:val="32"/>
          <w:szCs w:val="32"/>
          <w:lang w:eastAsia="zh-CN"/>
        </w:rPr>
        <w:t>；</w:t>
      </w:r>
      <w:r>
        <w:rPr>
          <w:rFonts w:ascii="Times New Roman" w:hAnsi="Times New Roman" w:eastAsia="仿宋_GB2312"/>
          <w:color w:val="auto"/>
          <w:sz w:val="32"/>
          <w:szCs w:val="32"/>
        </w:rPr>
        <w:t>针对产业发展需要和用户个性化需求，</w:t>
      </w:r>
      <w:r>
        <w:rPr>
          <w:rFonts w:hint="eastAsia" w:ascii="Times New Roman" w:hAnsi="Times New Roman" w:eastAsia="仿宋_GB2312"/>
          <w:color w:val="auto"/>
          <w:sz w:val="32"/>
          <w:szCs w:val="32"/>
        </w:rPr>
        <w:t>校企协同</w:t>
      </w:r>
      <w:r>
        <w:rPr>
          <w:rFonts w:ascii="Times New Roman" w:hAnsi="Times New Roman" w:eastAsia="仿宋_GB2312"/>
          <w:color w:val="auto"/>
          <w:sz w:val="32"/>
          <w:szCs w:val="32"/>
        </w:rPr>
        <w:t>开发建设的特色性、前瞻性资源。</w:t>
      </w:r>
    </w:p>
    <w:p>
      <w:pPr>
        <w:keepNext w:val="0"/>
        <w:keepLines w:val="0"/>
        <w:pageBreakBefore w:val="0"/>
        <w:kinsoku/>
        <w:wordWrap/>
        <w:overflowPunct/>
        <w:topLinePunct w:val="0"/>
        <w:autoSpaceDE/>
        <w:autoSpaceDN/>
        <w:bidi w:val="0"/>
        <w:adjustRightInd/>
        <w:spacing w:line="579" w:lineRule="exact"/>
        <w:ind w:right="0" w:rightChars="0" w:firstLine="640" w:firstLineChars="200"/>
        <w:textAlignment w:val="auto"/>
        <w:rPr>
          <w:rFonts w:hint="eastAsia" w:ascii="Times New Roman" w:hAnsi="Times New Roman" w:eastAsia="仿宋_GB2312"/>
          <w:color w:val="auto"/>
          <w:sz w:val="32"/>
          <w:szCs w:val="32"/>
          <w:lang w:eastAsia="zh-CN"/>
        </w:rPr>
      </w:pPr>
      <w:r>
        <w:rPr>
          <w:rFonts w:hint="eastAsia" w:ascii="仿宋" w:hAnsi="仿宋" w:eastAsia="仿宋" w:cs="仿宋"/>
          <w:color w:val="auto"/>
          <w:sz w:val="32"/>
          <w:szCs w:val="32"/>
          <w:shd w:val="clear" w:fill="FFFFFF"/>
          <w:lang w:val="en-US" w:eastAsia="zh-CN"/>
        </w:rPr>
        <w:t>3.</w:t>
      </w:r>
      <w:bookmarkStart w:id="0" w:name="OLE_LINK4"/>
      <w:r>
        <w:rPr>
          <w:rFonts w:ascii="Times New Roman" w:hAnsi="Times New Roman" w:eastAsia="仿宋_GB2312"/>
          <w:sz w:val="32"/>
          <w:szCs w:val="32"/>
        </w:rPr>
        <w:t>库内资源</w:t>
      </w:r>
      <w:r>
        <w:rPr>
          <w:rFonts w:hint="eastAsia" w:ascii="Times New Roman" w:hAnsi="Times New Roman" w:eastAsia="仿宋_GB2312"/>
          <w:sz w:val="32"/>
          <w:szCs w:val="32"/>
          <w:lang w:eastAsia="zh-CN"/>
        </w:rPr>
        <w:t>可建为</w:t>
      </w:r>
      <w:r>
        <w:rPr>
          <w:rFonts w:ascii="Times New Roman" w:hAnsi="Times New Roman" w:eastAsia="仿宋_GB2312"/>
          <w:sz w:val="32"/>
          <w:szCs w:val="32"/>
        </w:rPr>
        <w:t>素材、积件、模块和课程等不同层次</w:t>
      </w:r>
      <w:bookmarkEnd w:id="0"/>
      <w:r>
        <w:rPr>
          <w:rFonts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内容包含参建单位（院校、企业或</w:t>
      </w:r>
      <w:r>
        <w:rPr>
          <w:rFonts w:hint="eastAsia" w:ascii="Times New Roman" w:hAnsi="Times New Roman" w:eastAsia="仿宋_GB2312"/>
          <w:color w:val="000000" w:themeColor="text1"/>
          <w:sz w:val="32"/>
          <w:szCs w:val="32"/>
          <w:lang w:eastAsia="zh-CN"/>
          <w14:textFill>
            <w14:solidFill>
              <w14:schemeClr w14:val="tx1"/>
            </w14:solidFill>
          </w14:textFill>
        </w:rPr>
        <w:t>组织</w:t>
      </w:r>
      <w:r>
        <w:rPr>
          <w:rFonts w:hint="eastAsia" w:ascii="Times New Roman" w:hAnsi="Times New Roman" w:eastAsia="仿宋_GB2312"/>
          <w:color w:val="auto"/>
          <w:sz w:val="32"/>
          <w:szCs w:val="32"/>
          <w:lang w:eastAsia="zh-CN"/>
        </w:rPr>
        <w:t>）</w:t>
      </w:r>
      <w:r>
        <w:rPr>
          <w:rFonts w:ascii="Times New Roman" w:hAnsi="Times New Roman" w:eastAsia="仿宋_GB2312"/>
          <w:color w:val="auto"/>
          <w:sz w:val="32"/>
          <w:szCs w:val="32"/>
        </w:rPr>
        <w:t>贯彻国家专业教学标准，对接职业</w:t>
      </w:r>
      <w:r>
        <w:rPr>
          <w:rFonts w:hint="eastAsia" w:ascii="Times New Roman" w:hAnsi="Times New Roman" w:eastAsia="仿宋_GB2312"/>
          <w:color w:val="auto"/>
          <w:sz w:val="32"/>
          <w:szCs w:val="32"/>
          <w:lang w:eastAsia="zh-CN"/>
        </w:rPr>
        <w:t>岗位</w:t>
      </w:r>
      <w:r>
        <w:rPr>
          <w:rFonts w:ascii="Times New Roman" w:hAnsi="Times New Roman" w:eastAsia="仿宋_GB2312"/>
          <w:color w:val="auto"/>
          <w:sz w:val="32"/>
          <w:szCs w:val="32"/>
        </w:rPr>
        <w:t>标准、技术标准，共同制定</w:t>
      </w:r>
      <w:r>
        <w:rPr>
          <w:rFonts w:hint="eastAsia" w:ascii="Times New Roman" w:hAnsi="Times New Roman" w:eastAsia="仿宋_GB2312"/>
          <w:color w:val="auto"/>
          <w:sz w:val="32"/>
          <w:szCs w:val="32"/>
          <w:lang w:eastAsia="zh-CN"/>
        </w:rPr>
        <w:t>的</w:t>
      </w:r>
      <w:r>
        <w:rPr>
          <w:rFonts w:ascii="Times New Roman" w:hAnsi="Times New Roman" w:eastAsia="仿宋_GB2312"/>
          <w:color w:val="auto"/>
          <w:sz w:val="32"/>
          <w:szCs w:val="32"/>
        </w:rPr>
        <w:t>适应“互联网＋职业教育”发展需求的专业人才培养方案，</w:t>
      </w:r>
      <w:r>
        <w:rPr>
          <w:rFonts w:hint="eastAsia" w:ascii="Times New Roman" w:hAnsi="Times New Roman" w:eastAsia="仿宋_GB2312"/>
          <w:color w:val="auto"/>
          <w:sz w:val="32"/>
          <w:szCs w:val="32"/>
          <w:lang w:eastAsia="zh-CN"/>
        </w:rPr>
        <w:t>重构的</w:t>
      </w:r>
      <w:r>
        <w:rPr>
          <w:rFonts w:ascii="Times New Roman" w:hAnsi="Times New Roman" w:eastAsia="仿宋_GB2312"/>
          <w:color w:val="auto"/>
          <w:sz w:val="32"/>
          <w:szCs w:val="32"/>
        </w:rPr>
        <w:t>专业课程体系</w:t>
      </w:r>
      <w:r>
        <w:rPr>
          <w:rFonts w:hint="eastAsia" w:ascii="Times New Roman" w:hAnsi="Times New Roman" w:eastAsia="仿宋_GB2312"/>
          <w:color w:val="auto"/>
          <w:sz w:val="32"/>
          <w:szCs w:val="32"/>
          <w:lang w:eastAsia="zh-CN"/>
        </w:rPr>
        <w:t>；还应包含</w:t>
      </w:r>
      <w:r>
        <w:rPr>
          <w:rFonts w:ascii="Times New Roman" w:hAnsi="Times New Roman" w:eastAsia="仿宋_GB2312"/>
          <w:color w:val="auto"/>
          <w:sz w:val="32"/>
          <w:szCs w:val="32"/>
        </w:rPr>
        <w:t>专业介绍、教学文件、职业标准、技术标准、作业及测评系统、习题库（试题库）、企业案例、双师团队、就业与岗位、产品及文化展示、就业创业平台、企业网站链接以及导学助学系统等</w:t>
      </w:r>
      <w:r>
        <w:rPr>
          <w:rFonts w:hint="eastAsia" w:ascii="Times New Roman" w:hAnsi="Times New Roman" w:eastAsia="仿宋_GB2312"/>
          <w:color w:val="auto"/>
          <w:sz w:val="32"/>
          <w:szCs w:val="32"/>
          <w:lang w:eastAsia="zh-CN"/>
        </w:rPr>
        <w:t>。</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val="en-US" w:eastAsia="zh-CN"/>
        </w:rPr>
        <w:t xml:space="preserve">    4.逐步建立中职、高职专科、高职本科三个层次资源库。省级资源库不限专业领域，鼓励与国家级资源库错位建设。</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jc w:val="left"/>
        <w:textAlignment w:val="auto"/>
        <w:outlineLvl w:val="0"/>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（二）建设精品在线课程</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1.课程是教学的基本单元，是培养学生知识能力素质的重要载体。精品课程建设是一项复杂的系统工程，集内容、方法、技术、实践、师资、制度、特色等于一体的整体建设。</w:t>
      </w:r>
    </w:p>
    <w:p>
      <w:pPr>
        <w:keepNext w:val="0"/>
        <w:keepLines w:val="0"/>
        <w:pageBreakBefore w:val="0"/>
        <w:kinsoku/>
        <w:wordWrap/>
        <w:overflowPunct/>
        <w:topLinePunct w:val="0"/>
        <w:autoSpaceDE/>
        <w:autoSpaceDN/>
        <w:bidi w:val="0"/>
        <w:adjustRightInd/>
        <w:spacing w:line="579" w:lineRule="exact"/>
        <w:ind w:right="0" w:rightChars="0" w:firstLine="64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2.精品课程资源应包含教学视频、教学辅助资料、课程学习指南、课堂讨论设计、理论教学和实训教学项目、单元测验及单元作业、考试题库等内容；精品课程资源的呈现形式要遵循通用的网络教育技术标准，适合通过网络媒体进行播放和推送；精品课程资源的类型一般包括文本类素材、演示文稿类素材、图形（图像）类素材、音频类素材、视频类素材、动画类素材和虚拟仿真类素材等。</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3.精品课程应遵循国家职业教育专业教学标准、相关职业资格或职业岗位标准的课程标准，</w:t>
      </w:r>
      <w:r>
        <w:rPr>
          <w:rFonts w:hint="default" w:ascii="Times New Roman" w:hAnsi="Times New Roman" w:eastAsia="仿宋_GB2312"/>
          <w:color w:val="auto"/>
          <w:sz w:val="32"/>
          <w:szCs w:val="32"/>
          <w:lang w:val="en-US" w:eastAsia="zh-CN"/>
        </w:rPr>
        <w:t>具有</w:t>
      </w:r>
      <w:r>
        <w:rPr>
          <w:rFonts w:hint="eastAsia" w:ascii="Times New Roman" w:hAnsi="Times New Roman" w:eastAsia="仿宋_GB2312"/>
          <w:color w:val="auto"/>
          <w:sz w:val="32"/>
          <w:szCs w:val="32"/>
          <w:lang w:val="en-US" w:eastAsia="zh-CN"/>
        </w:rPr>
        <w:t>创造性和独特的亮点，具有</w:t>
      </w:r>
      <w:r>
        <w:rPr>
          <w:rFonts w:hint="default" w:ascii="Times New Roman" w:hAnsi="Times New Roman" w:eastAsia="仿宋_GB2312"/>
          <w:color w:val="auto"/>
          <w:sz w:val="32"/>
          <w:szCs w:val="32"/>
          <w:lang w:val="en-US" w:eastAsia="zh-CN"/>
        </w:rPr>
        <w:t>大规模在线开放课程教学特征</w:t>
      </w:r>
      <w:r>
        <w:rPr>
          <w:rFonts w:hint="eastAsia" w:ascii="Times New Roman" w:hAnsi="Times New Roman" w:eastAsia="仿宋_GB2312"/>
          <w:color w:val="auto"/>
          <w:sz w:val="32"/>
          <w:szCs w:val="32"/>
          <w:lang w:val="en-US" w:eastAsia="zh-CN"/>
        </w:rPr>
        <w:t>，体现一流的教师团队、方法手段、实训条件、数字教学资源和教学管理。应为学习者提供测验、作业、考试、答疑、讨论等教学组织活动，有效促进师生之间、学生之间进行资源共享、互动交流和自主式与协作式学习。</w:t>
      </w:r>
    </w:p>
    <w:p>
      <w:pPr>
        <w:keepNext w:val="0"/>
        <w:keepLines w:val="0"/>
        <w:pageBreakBefore w:val="0"/>
        <w:numPr>
          <w:ilvl w:val="0"/>
          <w:numId w:val="3"/>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建设数字教材</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数字教材是以符合课程标准的教学内容为基础，依据教学活动需要整合各类学习交互、学习工具等要素，按一定标准封装正式出版，能够通过互联网传播，用于课程教学，利用多媒体技术呈现的综合性融媒体出版物。包括：教学大纲、教学文本、教材资源库、试题库等。</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2.数字教材汇集移动学习、富媒体资源呈现、交互式教与学、过程大数据记录于一体，将传统纸质教材内容融合视频、动画、音频等资源重新进行适合各类终端浏览的排版设计和互动设计，为学生提供便捷、丰富、互动、学习过程可追溯的全新教材学习体验。</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数字教材应具备数字资源嵌入与点击播放浏览，名词术语解释、关键知识点强调等重点词条内容添加与点击词条浏览，注释、引文出处等对应词条添加脚注与点击词条跳转至脚注内容，重点语句标记，个人应用添加笔记，个人应用日历，个人应用搜索等功能。</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4.职业院校数字教材，除思想政治、语文、历史课程教材以及其他意识形态属性较强的教材和涉及国家主权、安全、民族、宗教等内容的教材外均可建设。</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jc w:val="both"/>
        <w:textAlignment w:val="auto"/>
        <w:rPr>
          <w:rFonts w:hint="eastAsia" w:ascii="仿宋" w:hAnsi="仿宋" w:eastAsia="仿宋" w:cs="仿宋"/>
          <w:color w:val="FF0000"/>
          <w:sz w:val="32"/>
          <w:szCs w:val="32"/>
          <w:shd w:val="clear" w:fill="FFFFFF"/>
          <w:lang w:val="en-US" w:eastAsia="zh-CN"/>
        </w:rPr>
      </w:pPr>
      <w:r>
        <w:rPr>
          <w:rFonts w:hint="eastAsia" w:ascii="仿宋" w:hAnsi="仿宋" w:eastAsia="仿宋" w:cs="仿宋"/>
          <w:color w:val="auto"/>
          <w:sz w:val="32"/>
          <w:szCs w:val="32"/>
          <w:shd w:val="clear" w:fill="FFFFFF"/>
          <w:lang w:val="en-US" w:eastAsia="zh-CN"/>
        </w:rPr>
        <w:t xml:space="preserve">  </w:t>
      </w:r>
      <w:r>
        <w:rPr>
          <w:rFonts w:hint="eastAsia" w:ascii="仿宋" w:hAnsi="仿宋" w:eastAsia="仿宋" w:cs="仿宋"/>
          <w:color w:val="FF0000"/>
          <w:sz w:val="32"/>
          <w:szCs w:val="32"/>
          <w:shd w:val="clear" w:fill="FFFFFF"/>
          <w:lang w:val="en-US" w:eastAsia="zh-CN"/>
        </w:rPr>
        <w:t xml:space="preserve"> </w:t>
      </w:r>
      <w:r>
        <w:rPr>
          <w:rFonts w:hint="eastAsia" w:ascii="楷体" w:hAnsi="楷体" w:eastAsia="楷体" w:cs="楷体"/>
          <w:color w:val="FF0000"/>
          <w:sz w:val="32"/>
          <w:szCs w:val="32"/>
          <w:shd w:val="clear" w:fill="FFFFFF"/>
          <w:lang w:val="en-US" w:eastAsia="zh-CN"/>
        </w:rPr>
        <w:t xml:space="preserve"> </w:t>
      </w:r>
      <w:r>
        <w:rPr>
          <w:rFonts w:hint="eastAsia" w:ascii="楷体" w:hAnsi="楷体" w:eastAsia="楷体" w:cs="楷体"/>
          <w:color w:val="auto"/>
          <w:sz w:val="32"/>
          <w:szCs w:val="32"/>
          <w:shd w:val="clear" w:fill="FFFFFF"/>
          <w:lang w:val="en-US" w:eastAsia="zh-CN"/>
        </w:rPr>
        <w:t>（四）建设虚拟仿真实训课程</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1.</w:t>
      </w:r>
      <w:r>
        <w:rPr>
          <w:rFonts w:hint="default" w:ascii="Times New Roman" w:hAnsi="Times New Roman" w:eastAsia="仿宋_GB2312"/>
          <w:color w:val="auto"/>
          <w:sz w:val="32"/>
          <w:szCs w:val="32"/>
          <w:lang w:val="en-US" w:eastAsia="zh-CN"/>
        </w:rPr>
        <w:t>虚拟仿真实训</w:t>
      </w:r>
      <w:r>
        <w:rPr>
          <w:rFonts w:hint="eastAsia" w:ascii="Times New Roman" w:hAnsi="Times New Roman" w:eastAsia="仿宋_GB2312"/>
          <w:color w:val="auto"/>
          <w:sz w:val="32"/>
          <w:szCs w:val="32"/>
          <w:lang w:val="en-US" w:eastAsia="zh-CN"/>
        </w:rPr>
        <w:t>课程建设是针对特定专业的真实实训课程内容进行的3D、4D或5D（以下简称“3D等”）数字内容的模拟开发，借助3D等虚拟环境或3D等立体显示设备模拟该专业课程实训环境、条件和流程，有效</w:t>
      </w:r>
      <w:r>
        <w:rPr>
          <w:rFonts w:hint="default" w:ascii="Times New Roman" w:hAnsi="Times New Roman" w:eastAsia="仿宋_GB2312"/>
          <w:color w:val="auto"/>
          <w:sz w:val="32"/>
          <w:szCs w:val="32"/>
          <w:lang w:val="en-US" w:eastAsia="zh-CN"/>
        </w:rPr>
        <w:t>弥补职业教育中看不到、进不去、成本高、危险性大</w:t>
      </w:r>
      <w:r>
        <w:rPr>
          <w:rFonts w:hint="eastAsia" w:ascii="Times New Roman" w:hAnsi="Times New Roman" w:eastAsia="仿宋_GB2312"/>
          <w:color w:val="auto"/>
          <w:sz w:val="32"/>
          <w:szCs w:val="32"/>
          <w:lang w:val="en-US" w:eastAsia="zh-CN"/>
        </w:rPr>
        <w:t>、受时空限制</w:t>
      </w:r>
      <w:r>
        <w:rPr>
          <w:rFonts w:hint="default" w:ascii="Times New Roman" w:hAnsi="Times New Roman" w:eastAsia="仿宋_GB2312"/>
          <w:color w:val="auto"/>
          <w:sz w:val="32"/>
          <w:szCs w:val="32"/>
          <w:lang w:val="en-US" w:eastAsia="zh-CN"/>
        </w:rPr>
        <w:t>等</w:t>
      </w:r>
      <w:r>
        <w:rPr>
          <w:rFonts w:hint="eastAsia" w:ascii="Times New Roman" w:hAnsi="Times New Roman" w:eastAsia="仿宋_GB2312"/>
          <w:color w:val="auto"/>
          <w:sz w:val="32"/>
          <w:szCs w:val="32"/>
          <w:lang w:val="en-US" w:eastAsia="zh-CN"/>
        </w:rPr>
        <w:t>方面</w:t>
      </w:r>
      <w:r>
        <w:rPr>
          <w:rFonts w:hint="default" w:ascii="Times New Roman" w:hAnsi="Times New Roman" w:eastAsia="仿宋_GB2312"/>
          <w:color w:val="auto"/>
          <w:sz w:val="32"/>
          <w:szCs w:val="32"/>
          <w:lang w:val="en-US" w:eastAsia="zh-CN"/>
        </w:rPr>
        <w:t>实训</w:t>
      </w:r>
      <w:r>
        <w:rPr>
          <w:rFonts w:hint="eastAsia" w:ascii="Times New Roman" w:hAnsi="Times New Roman" w:eastAsia="仿宋_GB2312"/>
          <w:color w:val="auto"/>
          <w:sz w:val="32"/>
          <w:szCs w:val="32"/>
          <w:lang w:val="en-US" w:eastAsia="zh-CN"/>
        </w:rPr>
        <w:t>教学的缺失，使教师和学生能够获得和真实世界中一样或者相近的实训体验，使学生获得生动直观的感性认识，增进对抽象原理的理解，达到替代或部分替代真实实训效果的作用。</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2.虚拟仿真实训课程建设要</w:t>
      </w:r>
      <w:r>
        <w:rPr>
          <w:rFonts w:hint="default" w:ascii="Times New Roman" w:hAnsi="Times New Roman" w:eastAsia="仿宋_GB2312"/>
          <w:color w:val="auto"/>
          <w:sz w:val="32"/>
          <w:szCs w:val="32"/>
          <w:lang w:val="en-US" w:eastAsia="zh-CN"/>
        </w:rPr>
        <w:t>结合职业院校人才培养的实际需求与地区行业企业发展需要，结合</w:t>
      </w:r>
      <w:r>
        <w:rPr>
          <w:rFonts w:hint="eastAsia" w:ascii="Times New Roman" w:hAnsi="Times New Roman" w:eastAsia="仿宋_GB2312"/>
          <w:color w:val="auto"/>
          <w:sz w:val="32"/>
          <w:szCs w:val="32"/>
          <w:lang w:val="en-US" w:eastAsia="zh-CN"/>
        </w:rPr>
        <w:t>学</w:t>
      </w:r>
      <w:r>
        <w:rPr>
          <w:rFonts w:hint="default" w:ascii="Times New Roman" w:hAnsi="Times New Roman" w:eastAsia="仿宋_GB2312"/>
          <w:color w:val="auto"/>
          <w:sz w:val="32"/>
          <w:szCs w:val="32"/>
          <w:lang w:val="en-US" w:eastAsia="zh-CN"/>
        </w:rPr>
        <w:t>校实训中存在的痛点与难点，将</w:t>
      </w:r>
      <w:r>
        <w:rPr>
          <w:rFonts w:hint="eastAsia" w:ascii="Times New Roman" w:hAnsi="Times New Roman" w:eastAsia="仿宋_GB2312"/>
          <w:color w:val="auto"/>
          <w:sz w:val="32"/>
          <w:szCs w:val="32"/>
          <w:lang w:val="en-US" w:eastAsia="zh-CN"/>
        </w:rPr>
        <w:fldChar w:fldCharType="begin"/>
      </w:r>
      <w:r>
        <w:rPr>
          <w:rFonts w:hint="eastAsia" w:ascii="Times New Roman" w:hAnsi="Times New Roman" w:eastAsia="仿宋_GB2312"/>
          <w:color w:val="auto"/>
          <w:sz w:val="32"/>
          <w:szCs w:val="32"/>
          <w:lang w:val="en-US" w:eastAsia="zh-CN"/>
        </w:rPr>
        <w:instrText xml:space="preserve"> HYPERLINK "https://baike.baidu.com/item/%E8%99%9A%E6%8B%9F%E7%8E%B0%E5%AE%9E/207123" \t "https://baike.baidu.com/item/%E5%9B%BD%E5%AE%B6%E7%BA%A7%E8%99%9A%E6%8B%9F%E4%BB%BF%E7%9C%9F%E5%AE%9E%E9%AA%8C%E6%95%99%E5%AD%A6%E4%B8%AD%E5%BF%83/_blank" </w:instrText>
      </w:r>
      <w:r>
        <w:rPr>
          <w:rFonts w:hint="eastAsia" w:ascii="Times New Roman" w:hAnsi="Times New Roman" w:eastAsia="仿宋_GB2312"/>
          <w:color w:val="auto"/>
          <w:sz w:val="32"/>
          <w:szCs w:val="32"/>
          <w:lang w:val="en-US" w:eastAsia="zh-CN"/>
        </w:rPr>
        <w:fldChar w:fldCharType="separate"/>
      </w:r>
      <w:r>
        <w:rPr>
          <w:rFonts w:hint="default" w:ascii="Times New Roman" w:hAnsi="Times New Roman" w:eastAsia="仿宋_GB2312"/>
          <w:color w:val="auto"/>
          <w:sz w:val="32"/>
          <w:szCs w:val="32"/>
          <w:lang w:val="en-US" w:eastAsia="zh-CN"/>
        </w:rPr>
        <w:t>虚拟现实</w:t>
      </w:r>
      <w:r>
        <w:rPr>
          <w:rFonts w:hint="default" w:ascii="Times New Roman" w:hAnsi="Times New Roman" w:eastAsia="仿宋_GB2312"/>
          <w:color w:val="auto"/>
          <w:sz w:val="32"/>
          <w:szCs w:val="32"/>
          <w:lang w:val="en-US" w:eastAsia="zh-CN"/>
        </w:rPr>
        <w:fldChar w:fldCharType="end"/>
      </w:r>
      <w:r>
        <w:rPr>
          <w:rFonts w:hint="eastAsia" w:ascii="Times New Roman" w:hAnsi="Times New Roman" w:eastAsia="仿宋_GB2312"/>
          <w:color w:val="auto"/>
          <w:sz w:val="32"/>
          <w:szCs w:val="32"/>
          <w:lang w:val="en-US" w:eastAsia="zh-CN"/>
        </w:rPr>
        <w:t>和</w:t>
      </w:r>
      <w:r>
        <w:rPr>
          <w:rFonts w:hint="default" w:ascii="Times New Roman" w:hAnsi="Times New Roman" w:eastAsia="仿宋_GB2312"/>
          <w:color w:val="auto"/>
          <w:sz w:val="32"/>
          <w:szCs w:val="32"/>
          <w:lang w:val="en-US" w:eastAsia="zh-CN"/>
        </w:rPr>
        <w:t>人工智能等新一代信息技术</w:t>
      </w:r>
      <w:r>
        <w:rPr>
          <w:rFonts w:hint="eastAsia" w:ascii="Times New Roman" w:hAnsi="Times New Roman" w:eastAsia="仿宋_GB2312"/>
          <w:color w:val="auto"/>
          <w:sz w:val="32"/>
          <w:szCs w:val="32"/>
          <w:lang w:val="en-US" w:eastAsia="zh-CN"/>
        </w:rPr>
        <w:t>与</w:t>
      </w:r>
      <w:r>
        <w:rPr>
          <w:rFonts w:hint="default" w:ascii="Times New Roman" w:hAnsi="Times New Roman" w:eastAsia="仿宋_GB2312"/>
          <w:color w:val="auto"/>
          <w:sz w:val="32"/>
          <w:szCs w:val="32"/>
          <w:lang w:val="en-US" w:eastAsia="zh-CN"/>
        </w:rPr>
        <w:t>实训设施深度融合，以实带虚、以虚助实、虚实结合</w:t>
      </w:r>
      <w:r>
        <w:rPr>
          <w:rFonts w:hint="eastAsia" w:ascii="Times New Roman" w:hAnsi="Times New Roman" w:eastAsia="仿宋_GB2312"/>
          <w:color w:val="auto"/>
          <w:sz w:val="32"/>
          <w:szCs w:val="32"/>
          <w:lang w:val="en-US" w:eastAsia="zh-CN"/>
        </w:rPr>
        <w:t>。</w:t>
      </w:r>
    </w:p>
    <w:p>
      <w:pPr>
        <w:keepNext w:val="0"/>
        <w:keepLines w:val="0"/>
        <w:pageBreakBefore w:val="0"/>
        <w:kinsoku/>
        <w:wordWrap/>
        <w:overflowPunct/>
        <w:topLinePunct w:val="0"/>
        <w:autoSpaceDE/>
        <w:autoSpaceDN/>
        <w:bidi w:val="0"/>
        <w:adjustRightInd/>
        <w:spacing w:line="579" w:lineRule="exact"/>
        <w:ind w:right="0" w:rightChars="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3.虚拟仿真实训课程应是虚实结合的符合真实实训教学和职业岗位操作规范、操作流程、操作效果的仿真模拟实训演练系统，能够进行知识点、操作要点及工作流程的仿真实训考核。构成要素应包括：实训简介、实训指南、实训对象、实训操作、知识提示、实训提示、实训数据、实训考核、实训报告、实训评价、在线讨论等。</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jc w:val="left"/>
        <w:textAlignment w:val="auto"/>
        <w:outlineLvl w:val="9"/>
        <w:rPr>
          <w:rFonts w:hint="eastAsia" w:ascii="黑体" w:hAnsi="黑体" w:eastAsia="黑体" w:cs="黑体"/>
          <w:b w:val="0"/>
          <w:bCs w:val="0"/>
          <w:color w:val="auto"/>
          <w:sz w:val="32"/>
          <w:szCs w:val="32"/>
          <w:lang w:val="en-US" w:eastAsia="zh-CN"/>
        </w:rPr>
      </w:pPr>
      <w:r>
        <w:rPr>
          <w:rFonts w:hint="eastAsia" w:ascii="黑体" w:hAnsi="黑体" w:eastAsia="黑体" w:cs="黑体"/>
          <w:color w:val="auto"/>
          <w:kern w:val="2"/>
          <w:sz w:val="32"/>
          <w:szCs w:val="32"/>
          <w:shd w:val="clear" w:fill="FFFFFF"/>
          <w:lang w:val="en-US" w:eastAsia="zh-CN" w:bidi="ar-SA"/>
        </w:rPr>
        <w:t>四、基本遵循</w:t>
      </w:r>
    </w:p>
    <w:p>
      <w:pPr>
        <w:keepNext w:val="0"/>
        <w:keepLines w:val="0"/>
        <w:pageBreakBefore w:val="0"/>
        <w:widowControl/>
        <w:kinsoku/>
        <w:wordWrap/>
        <w:overflowPunct/>
        <w:topLinePunct w:val="0"/>
        <w:autoSpaceDE/>
        <w:autoSpaceDN/>
        <w:bidi w:val="0"/>
        <w:adjustRightInd/>
        <w:snapToGrid/>
        <w:spacing w:line="579" w:lineRule="exact"/>
        <w:ind w:left="0" w:leftChars="0" w:right="0" w:rightChars="0" w:firstLine="640" w:firstLineChars="200"/>
        <w:jc w:val="both"/>
        <w:textAlignment w:val="auto"/>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rPr>
        <w:t>（一</w:t>
      </w:r>
      <w:r>
        <w:rPr>
          <w:rFonts w:hint="eastAsia" w:ascii="楷体" w:hAnsi="楷体" w:eastAsia="楷体" w:cs="楷体"/>
          <w:b w:val="0"/>
          <w:bCs/>
          <w:color w:val="auto"/>
          <w:sz w:val="32"/>
          <w:szCs w:val="32"/>
          <w:lang w:eastAsia="zh-CN"/>
        </w:rPr>
        <w:t>）坚定政治立场。</w:t>
      </w:r>
      <w:r>
        <w:rPr>
          <w:rFonts w:hint="eastAsia" w:ascii="仿宋" w:hAnsi="仿宋" w:eastAsia="仿宋" w:cs="仿宋"/>
          <w:b w:val="0"/>
          <w:bCs/>
          <w:color w:val="auto"/>
          <w:sz w:val="32"/>
          <w:szCs w:val="32"/>
          <w:lang w:eastAsia="zh-CN"/>
        </w:rPr>
        <w:t>数字资源建设要坚持正确的政治方向，坚持正确的历史观、民族观、国家观、文化观。全面贯彻党的教育方针，弘扬和践行社会主义核心价值观和工匠精神，落实立德树人根本任务，将课程思政贯穿始终。</w:t>
      </w:r>
    </w:p>
    <w:p>
      <w:pPr>
        <w:keepNext w:val="0"/>
        <w:keepLines w:val="0"/>
        <w:pageBreakBefore w:val="0"/>
        <w:widowControl/>
        <w:kinsoku/>
        <w:wordWrap/>
        <w:overflowPunct/>
        <w:topLinePunct w:val="0"/>
        <w:autoSpaceDE/>
        <w:autoSpaceDN/>
        <w:bidi w:val="0"/>
        <w:adjustRightInd/>
        <w:spacing w:line="579" w:lineRule="exact"/>
        <w:ind w:right="0" w:rightChars="0" w:firstLine="640" w:firstLineChars="200"/>
        <w:textAlignment w:val="auto"/>
        <w:rPr>
          <w:rFonts w:ascii="仿宋" w:hAnsi="仿宋" w:eastAsia="仿宋" w:cs="仿宋"/>
          <w:bCs/>
          <w:color w:val="auto"/>
          <w:sz w:val="32"/>
          <w:szCs w:val="32"/>
        </w:rPr>
      </w:pPr>
      <w:r>
        <w:rPr>
          <w:rFonts w:hint="eastAsia" w:ascii="楷体" w:hAnsi="楷体" w:eastAsia="楷体" w:cs="楷体"/>
          <w:b w:val="0"/>
          <w:bCs/>
          <w:color w:val="auto"/>
          <w:sz w:val="32"/>
          <w:szCs w:val="32"/>
          <w:lang w:eastAsia="zh-CN"/>
        </w:rPr>
        <w:t>（二）构建优秀团队。</w:t>
      </w:r>
      <w:r>
        <w:rPr>
          <w:rFonts w:hint="eastAsia" w:ascii="仿宋" w:hAnsi="仿宋" w:eastAsia="仿宋" w:cs="仿宋"/>
          <w:b w:val="0"/>
          <w:bCs/>
          <w:color w:val="auto"/>
          <w:sz w:val="32"/>
          <w:szCs w:val="32"/>
          <w:lang w:eastAsia="zh-CN"/>
        </w:rPr>
        <w:t>数字资源建设团队应</w:t>
      </w:r>
      <w:r>
        <w:rPr>
          <w:rFonts w:hint="eastAsia" w:ascii="仿宋" w:hAnsi="仿宋" w:eastAsia="仿宋" w:cs="仿宋"/>
          <w:b w:val="0"/>
          <w:bCs/>
          <w:color w:val="auto"/>
          <w:sz w:val="32"/>
          <w:szCs w:val="32"/>
        </w:rPr>
        <w:t>结构合理、人员稳定</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原则上</w:t>
      </w:r>
      <w:r>
        <w:rPr>
          <w:rFonts w:hint="eastAsia" w:ascii="仿宋" w:hAnsi="仿宋" w:eastAsia="仿宋" w:cs="仿宋"/>
          <w:b w:val="0"/>
          <w:bCs/>
          <w:color w:val="auto"/>
          <w:sz w:val="32"/>
          <w:szCs w:val="32"/>
          <w:lang w:eastAsia="zh-CN"/>
        </w:rPr>
        <w:t>所有成员</w:t>
      </w:r>
      <w:r>
        <w:rPr>
          <w:rFonts w:hint="eastAsia" w:ascii="仿宋" w:hAnsi="仿宋" w:eastAsia="仿宋" w:cs="仿宋"/>
          <w:b w:val="0"/>
          <w:bCs/>
          <w:color w:val="auto"/>
          <w:sz w:val="32"/>
          <w:szCs w:val="32"/>
        </w:rPr>
        <w:t>应具有中级及以上职称</w:t>
      </w:r>
      <w:r>
        <w:rPr>
          <w:rFonts w:hint="eastAsia" w:ascii="仿宋" w:hAnsi="仿宋" w:eastAsia="仿宋" w:cs="仿宋"/>
          <w:b w:val="0"/>
          <w:bCs/>
          <w:color w:val="auto"/>
          <w:sz w:val="32"/>
          <w:szCs w:val="32"/>
          <w:lang w:eastAsia="zh-CN"/>
        </w:rPr>
        <w:t>，应包含若干具有</w:t>
      </w:r>
      <w:r>
        <w:rPr>
          <w:rFonts w:hint="eastAsia" w:ascii="仿宋" w:hAnsi="仿宋" w:eastAsia="仿宋" w:cs="仿宋"/>
          <w:b w:val="0"/>
          <w:bCs/>
          <w:color w:val="auto"/>
          <w:sz w:val="32"/>
          <w:szCs w:val="32"/>
        </w:rPr>
        <w:t>较高学术造诣</w:t>
      </w:r>
      <w:r>
        <w:rPr>
          <w:rFonts w:hint="eastAsia" w:ascii="仿宋" w:hAnsi="仿宋" w:eastAsia="仿宋" w:cs="仿宋"/>
          <w:b w:val="0"/>
          <w:bCs/>
          <w:color w:val="auto"/>
          <w:sz w:val="32"/>
          <w:szCs w:val="32"/>
          <w:lang w:eastAsia="zh-CN"/>
        </w:rPr>
        <w:t>及</w:t>
      </w:r>
      <w:r>
        <w:rPr>
          <w:rFonts w:hint="eastAsia" w:ascii="仿宋" w:hAnsi="仿宋" w:eastAsia="仿宋" w:cs="仿宋"/>
          <w:b w:val="0"/>
          <w:bCs/>
          <w:color w:val="auto"/>
          <w:sz w:val="32"/>
          <w:szCs w:val="32"/>
        </w:rPr>
        <w:t>丰富教学经验</w:t>
      </w:r>
      <w:r>
        <w:rPr>
          <w:rFonts w:hint="eastAsia" w:ascii="仿宋" w:hAnsi="仿宋" w:eastAsia="仿宋" w:cs="仿宋"/>
          <w:b w:val="0"/>
          <w:bCs/>
          <w:color w:val="auto"/>
          <w:sz w:val="32"/>
          <w:szCs w:val="32"/>
          <w:lang w:eastAsia="zh-CN"/>
        </w:rPr>
        <w:t>、或具有较高生产技术技能及企业工作经验的成员，项目</w:t>
      </w:r>
      <w:r>
        <w:rPr>
          <w:rFonts w:hint="eastAsia" w:ascii="仿宋" w:hAnsi="仿宋" w:eastAsia="仿宋" w:cs="仿宋"/>
          <w:b w:val="0"/>
          <w:bCs/>
          <w:color w:val="auto"/>
          <w:sz w:val="32"/>
          <w:szCs w:val="32"/>
        </w:rPr>
        <w:t>负责人</w:t>
      </w:r>
      <w:r>
        <w:rPr>
          <w:rFonts w:hint="eastAsia" w:ascii="仿宋" w:hAnsi="仿宋" w:eastAsia="仿宋" w:cs="仿宋"/>
          <w:color w:val="auto"/>
          <w:sz w:val="32"/>
          <w:szCs w:val="32"/>
        </w:rPr>
        <w:t>须为职业学校正式聘用的教师</w:t>
      </w:r>
      <w:r>
        <w:rPr>
          <w:rFonts w:hint="eastAsia" w:ascii="仿宋" w:hAnsi="仿宋" w:eastAsia="仿宋" w:cs="仿宋"/>
          <w:color w:val="auto"/>
          <w:sz w:val="32"/>
          <w:szCs w:val="32"/>
          <w:lang w:eastAsia="zh-CN"/>
        </w:rPr>
        <w:t>，</w:t>
      </w:r>
      <w:r>
        <w:rPr>
          <w:rFonts w:hint="eastAsia" w:ascii="仿宋" w:hAnsi="仿宋" w:eastAsia="仿宋" w:cs="仿宋"/>
          <w:b w:val="0"/>
          <w:bCs/>
          <w:color w:val="auto"/>
          <w:sz w:val="32"/>
          <w:szCs w:val="32"/>
        </w:rPr>
        <w:t>师德好、教学能力强</w:t>
      </w:r>
      <w:r>
        <w:rPr>
          <w:rFonts w:hint="eastAsia" w:ascii="仿宋" w:hAnsi="仿宋" w:eastAsia="仿宋" w:cs="仿宋"/>
          <w:b w:val="0"/>
          <w:bCs/>
          <w:color w:val="auto"/>
          <w:sz w:val="32"/>
          <w:szCs w:val="32"/>
          <w:lang w:eastAsia="zh-CN"/>
        </w:rPr>
        <w:t>、技术技能水平高，</w:t>
      </w:r>
      <w:r>
        <w:rPr>
          <w:rFonts w:hint="eastAsia" w:ascii="仿宋" w:hAnsi="仿宋" w:eastAsia="仿宋" w:cs="仿宋"/>
          <w:color w:val="auto"/>
          <w:sz w:val="32"/>
          <w:szCs w:val="32"/>
        </w:rPr>
        <w:t>具有相关产业行业领域产学研合作经历</w:t>
      </w:r>
      <w:r>
        <w:rPr>
          <w:rFonts w:hint="eastAsia" w:ascii="仿宋" w:hAnsi="仿宋" w:eastAsia="仿宋" w:cs="仿宋"/>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楷体" w:hAnsi="楷体" w:eastAsia="楷体" w:cs="楷体"/>
          <w:b w:val="0"/>
          <w:bCs/>
          <w:color w:val="auto"/>
          <w:sz w:val="32"/>
          <w:szCs w:val="32"/>
          <w:lang w:eastAsia="zh-CN"/>
        </w:rPr>
      </w:pPr>
      <w:r>
        <w:rPr>
          <w:rFonts w:hint="eastAsia" w:ascii="楷体" w:hAnsi="楷体" w:eastAsia="楷体" w:cs="楷体"/>
          <w:b w:val="0"/>
          <w:bCs/>
          <w:color w:val="auto"/>
          <w:sz w:val="32"/>
          <w:szCs w:val="32"/>
          <w:lang w:eastAsia="zh-CN"/>
        </w:rPr>
        <w:t>（三）加强改革创新。</w:t>
      </w:r>
      <w:r>
        <w:rPr>
          <w:rFonts w:hint="eastAsia" w:ascii="仿宋" w:hAnsi="仿宋" w:eastAsia="仿宋" w:cs="仿宋"/>
          <w:b w:val="0"/>
          <w:bCs/>
          <w:color w:val="auto"/>
          <w:sz w:val="32"/>
          <w:szCs w:val="32"/>
          <w:lang w:eastAsia="zh-CN"/>
        </w:rPr>
        <w:t>数字资源建设</w:t>
      </w:r>
      <w:r>
        <w:rPr>
          <w:rFonts w:hint="eastAsia" w:ascii="仿宋" w:hAnsi="仿宋" w:eastAsia="仿宋" w:cs="仿宋"/>
          <w:b w:val="0"/>
          <w:bCs/>
          <w:color w:val="auto"/>
          <w:sz w:val="32"/>
          <w:szCs w:val="32"/>
        </w:rPr>
        <w:t>团队</w:t>
      </w:r>
      <w:r>
        <w:rPr>
          <w:rFonts w:hint="eastAsia" w:ascii="仿宋" w:hAnsi="仿宋" w:eastAsia="仿宋" w:cs="仿宋"/>
          <w:color w:val="auto"/>
          <w:sz w:val="32"/>
          <w:szCs w:val="32"/>
        </w:rPr>
        <w:t>教学改革意识强烈、理念先进，</w:t>
      </w:r>
      <w:r>
        <w:rPr>
          <w:rFonts w:hint="eastAsia" w:ascii="仿宋" w:hAnsi="仿宋" w:eastAsia="仿宋" w:cs="仿宋"/>
          <w:b w:val="0"/>
          <w:bCs/>
          <w:color w:val="auto"/>
          <w:sz w:val="32"/>
          <w:szCs w:val="32"/>
          <w:lang w:eastAsia="zh-CN"/>
        </w:rPr>
        <w:t>能</w:t>
      </w:r>
      <w:r>
        <w:rPr>
          <w:rFonts w:hint="eastAsia" w:ascii="仿宋" w:hAnsi="仿宋" w:eastAsia="仿宋" w:cs="仿宋"/>
          <w:b w:val="0"/>
          <w:bCs/>
          <w:color w:val="auto"/>
          <w:sz w:val="32"/>
          <w:szCs w:val="32"/>
        </w:rPr>
        <w:t>积极投身信息技术与教育教学深度融合的教学改革，</w:t>
      </w:r>
      <w:r>
        <w:rPr>
          <w:rFonts w:hint="eastAsia" w:ascii="仿宋" w:hAnsi="仿宋" w:eastAsia="仿宋" w:cs="仿宋"/>
          <w:b w:val="0"/>
          <w:bCs/>
          <w:color w:val="auto"/>
          <w:sz w:val="32"/>
          <w:szCs w:val="32"/>
          <w:lang w:eastAsia="zh-CN"/>
        </w:rPr>
        <w:t>运用先进的信息技术手段建设数字资源，</w:t>
      </w:r>
      <w:r>
        <w:rPr>
          <w:rFonts w:hint="eastAsia" w:ascii="仿宋" w:hAnsi="仿宋" w:eastAsia="仿宋" w:cs="仿宋"/>
          <w:color w:val="auto"/>
          <w:sz w:val="32"/>
          <w:szCs w:val="32"/>
        </w:rPr>
        <w:t>坚持应用驱动、建以致用</w:t>
      </w:r>
      <w:r>
        <w:rPr>
          <w:rFonts w:hint="eastAsia" w:ascii="仿宋" w:hAnsi="仿宋" w:eastAsia="仿宋" w:cs="仿宋"/>
          <w:color w:val="auto"/>
          <w:sz w:val="32"/>
          <w:szCs w:val="32"/>
          <w:lang w:eastAsia="zh-CN"/>
        </w:rPr>
        <w:t>，</w:t>
      </w:r>
      <w:r>
        <w:rPr>
          <w:rFonts w:hint="eastAsia" w:ascii="仿宋" w:hAnsi="仿宋" w:eastAsia="仿宋" w:cs="仿宋"/>
          <w:b w:val="0"/>
          <w:bCs/>
          <w:color w:val="auto"/>
          <w:sz w:val="32"/>
          <w:szCs w:val="32"/>
          <w:lang w:eastAsia="zh-CN"/>
        </w:rPr>
        <w:t>不断更新并提升技术和数据服务水平</w:t>
      </w:r>
      <w:r>
        <w:rPr>
          <w:rFonts w:hint="eastAsia" w:ascii="楷体" w:hAnsi="楷体" w:eastAsia="楷体" w:cs="楷体"/>
          <w:b w:val="0"/>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b w:val="0"/>
          <w:bCs/>
          <w:color w:val="auto"/>
          <w:kern w:val="2"/>
          <w:sz w:val="32"/>
          <w:szCs w:val="32"/>
          <w:lang w:val="en-US" w:eastAsia="zh-CN" w:bidi="ar-SA"/>
        </w:rPr>
      </w:pPr>
      <w:r>
        <w:rPr>
          <w:rFonts w:hint="eastAsia" w:ascii="楷体" w:hAnsi="楷体" w:eastAsia="楷体" w:cs="楷体"/>
          <w:b w:val="0"/>
          <w:bCs/>
          <w:color w:val="auto"/>
          <w:sz w:val="32"/>
          <w:szCs w:val="32"/>
          <w:lang w:val="en-US" w:eastAsia="zh-CN"/>
        </w:rPr>
        <w:t>（四）以学习者为本。</w:t>
      </w:r>
      <w:r>
        <w:rPr>
          <w:rFonts w:hint="eastAsia" w:ascii="仿宋" w:hAnsi="仿宋" w:eastAsia="仿宋" w:cs="仿宋"/>
          <w:b w:val="0"/>
          <w:bCs/>
          <w:color w:val="auto"/>
          <w:kern w:val="2"/>
          <w:sz w:val="32"/>
          <w:szCs w:val="32"/>
          <w:lang w:val="en-US" w:eastAsia="zh-CN" w:bidi="ar-SA"/>
        </w:rPr>
        <w:t>数字资源建设应体现以学习者为中心的教育理念，建立教与学新型关系，遵循教育教学规律和学生职业能力培养规律，注重因材施教，促进学生德智体美劳全面发展。</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lang w:eastAsia="zh-CN"/>
        </w:rPr>
        <w:t>（五）遵循规范标准。</w:t>
      </w:r>
      <w:r>
        <w:rPr>
          <w:rFonts w:hint="eastAsia" w:ascii="仿宋" w:hAnsi="仿宋" w:eastAsia="仿宋" w:cs="仿宋"/>
          <w:b w:val="0"/>
          <w:bCs/>
          <w:color w:val="auto"/>
          <w:sz w:val="32"/>
          <w:szCs w:val="32"/>
          <w:lang w:eastAsia="zh-CN"/>
        </w:rPr>
        <w:t>数字资源建设要遵循国家在职业教育专业教学标准、课程标准、顶岗实习标准、实训条件建设标准和职业技能等级标准、行业职业岗位能力标准、产业生产工艺标准、操作技术规范等，</w:t>
      </w:r>
      <w:r>
        <w:rPr>
          <w:rFonts w:hint="eastAsia" w:ascii="仿宋" w:hAnsi="仿宋" w:eastAsia="仿宋" w:cs="仿宋"/>
          <w:b w:val="0"/>
          <w:bCs/>
          <w:color w:val="auto"/>
          <w:sz w:val="32"/>
          <w:szCs w:val="32"/>
        </w:rPr>
        <w:t>及时更新和完善课程内容</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持续为学习者提供有效的教学服务</w:t>
      </w:r>
      <w:r>
        <w:rPr>
          <w:rFonts w:hint="eastAsia" w:ascii="仿宋" w:hAnsi="仿宋" w:eastAsia="仿宋" w:cs="仿宋"/>
          <w:b w:val="0"/>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eastAsia="zh-CN"/>
        </w:rPr>
      </w:pPr>
      <w:r>
        <w:rPr>
          <w:rFonts w:hint="eastAsia" w:ascii="楷体" w:hAnsi="楷体" w:eastAsia="楷体" w:cs="楷体"/>
          <w:b w:val="0"/>
          <w:bCs/>
          <w:color w:val="auto"/>
          <w:sz w:val="32"/>
          <w:szCs w:val="32"/>
          <w:lang w:eastAsia="zh-CN"/>
        </w:rPr>
        <w:t>（六）瞄准国际水平。</w:t>
      </w:r>
      <w:r>
        <w:rPr>
          <w:rFonts w:hint="eastAsia" w:ascii="仿宋" w:hAnsi="仿宋" w:eastAsia="仿宋" w:cs="仿宋"/>
          <w:b w:val="0"/>
          <w:bCs/>
          <w:color w:val="auto"/>
          <w:sz w:val="32"/>
          <w:szCs w:val="32"/>
          <w:lang w:eastAsia="zh-CN"/>
        </w:rPr>
        <w:t>数字资源建设要对标世界技能大赛的高质量、高精度、高强度的生产工艺标准和操作技术规范，对接国际先进水平企业的岗位职业能力标准，踏实研磨技术技能，蓄势推进教学改革。</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val="en-US" w:eastAsia="zh-CN"/>
        </w:rPr>
      </w:pPr>
      <w:r>
        <w:rPr>
          <w:rFonts w:hint="eastAsia" w:ascii="楷体" w:hAnsi="楷体" w:eastAsia="楷体" w:cs="楷体"/>
          <w:b w:val="0"/>
          <w:bCs/>
          <w:color w:val="auto"/>
          <w:sz w:val="32"/>
          <w:szCs w:val="32"/>
          <w:lang w:eastAsia="zh-CN"/>
        </w:rPr>
        <w:t>（七）体现贯通理念。</w:t>
      </w:r>
      <w:r>
        <w:rPr>
          <w:rFonts w:hint="eastAsia" w:ascii="仿宋" w:hAnsi="仿宋" w:eastAsia="仿宋" w:cs="仿宋"/>
          <w:b w:val="0"/>
          <w:bCs/>
          <w:color w:val="auto"/>
          <w:sz w:val="32"/>
          <w:szCs w:val="32"/>
          <w:lang w:eastAsia="zh-CN"/>
        </w:rPr>
        <w:t>数字资源建设要注重</w:t>
      </w:r>
      <w:r>
        <w:rPr>
          <w:rFonts w:hint="eastAsia" w:ascii="仿宋" w:hAnsi="仿宋" w:eastAsia="仿宋" w:cs="仿宋"/>
          <w:b w:val="0"/>
          <w:bCs/>
          <w:color w:val="auto"/>
          <w:sz w:val="32"/>
          <w:szCs w:val="32"/>
          <w:lang w:val="en-US" w:eastAsia="zh-CN"/>
        </w:rPr>
        <w:t>中职、高职专科及高职本科衔接贯通理念，面向职业岗位群逐层提升、人才培养定位和培养目标、规格逐层递进，有机衔接进行一体化设计。</w:t>
      </w:r>
    </w:p>
    <w:p>
      <w:pPr>
        <w:keepNext w:val="0"/>
        <w:keepLines w:val="0"/>
        <w:pageBreakBefore w:val="0"/>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outlineLvl w:val="9"/>
        <w:rPr>
          <w:rFonts w:hint="eastAsia" w:ascii="仿宋" w:hAnsi="仿宋" w:eastAsia="仿宋" w:cs="仿宋"/>
          <w:b w:val="0"/>
          <w:bCs/>
          <w:color w:val="auto"/>
          <w:sz w:val="32"/>
          <w:szCs w:val="32"/>
          <w:lang w:eastAsia="zh-CN"/>
        </w:rPr>
      </w:pPr>
      <w:r>
        <w:rPr>
          <w:rFonts w:hint="eastAsia" w:ascii="楷体" w:hAnsi="楷体" w:eastAsia="楷体" w:cs="楷体"/>
          <w:b w:val="0"/>
          <w:bCs w:val="0"/>
          <w:color w:val="auto"/>
          <w:sz w:val="32"/>
          <w:szCs w:val="32"/>
          <w:lang w:eastAsia="zh-CN"/>
        </w:rPr>
        <w:t>（八）探索共建</w:t>
      </w:r>
      <w:r>
        <w:rPr>
          <w:rFonts w:hint="eastAsia" w:ascii="楷体" w:hAnsi="楷体" w:eastAsia="楷体" w:cs="楷体"/>
          <w:b w:val="0"/>
          <w:bCs w:val="0"/>
          <w:color w:val="auto"/>
          <w:sz w:val="32"/>
          <w:szCs w:val="32"/>
        </w:rPr>
        <w:t>共享</w:t>
      </w:r>
      <w:r>
        <w:rPr>
          <w:rFonts w:hint="eastAsia" w:ascii="楷体" w:hAnsi="楷体" w:eastAsia="楷体" w:cs="楷体"/>
          <w:b w:val="0"/>
          <w:bCs w:val="0"/>
          <w:color w:val="auto"/>
          <w:sz w:val="32"/>
          <w:szCs w:val="32"/>
          <w:lang w:eastAsia="zh-CN"/>
        </w:rPr>
        <w:t>。</w:t>
      </w:r>
      <w:r>
        <w:rPr>
          <w:rFonts w:hint="eastAsia" w:ascii="仿宋" w:hAnsi="仿宋" w:eastAsia="仿宋" w:cs="仿宋"/>
          <w:b w:val="0"/>
          <w:bCs/>
          <w:color w:val="auto"/>
          <w:sz w:val="32"/>
          <w:szCs w:val="32"/>
          <w:lang w:eastAsia="zh-CN"/>
        </w:rPr>
        <w:t>建立健全共建共享的资源认证标准和交易机制，</w:t>
      </w:r>
      <w:r>
        <w:rPr>
          <w:rFonts w:hint="eastAsia" w:ascii="仿宋" w:hAnsi="仿宋" w:eastAsia="仿宋" w:cs="仿宋"/>
          <w:color w:val="auto"/>
          <w:sz w:val="32"/>
          <w:szCs w:val="32"/>
          <w:lang w:eastAsia="zh-CN"/>
        </w:rPr>
        <w:t>探索</w:t>
      </w:r>
      <w:r>
        <w:rPr>
          <w:rFonts w:hint="eastAsia" w:ascii="仿宋" w:hAnsi="仿宋" w:eastAsia="仿宋" w:cs="仿宋"/>
          <w:b w:val="0"/>
          <w:bCs/>
          <w:color w:val="auto"/>
          <w:sz w:val="32"/>
          <w:szCs w:val="32"/>
          <w:lang w:eastAsia="zh-CN"/>
        </w:rPr>
        <w:t>建立数字资源和平台融合发展的共建共享长效机制，建立完善数字资源运行和共享平台，推进数字资源建设及应用。</w:t>
      </w:r>
    </w:p>
    <w:p>
      <w:pPr>
        <w:pStyle w:val="7"/>
        <w:keepNext w:val="0"/>
        <w:keepLines w:val="0"/>
        <w:pageBreakBefore w:val="0"/>
        <w:kinsoku/>
        <w:wordWrap/>
        <w:overflowPunct/>
        <w:topLinePunct w:val="0"/>
        <w:autoSpaceDE/>
        <w:autoSpaceDN/>
        <w:bidi w:val="0"/>
        <w:adjustRightInd/>
        <w:snapToGrid w:val="0"/>
        <w:spacing w:before="0" w:beforeAutospacing="0" w:after="0" w:afterAutospacing="0" w:line="579" w:lineRule="exact"/>
        <w:ind w:right="0" w:rightChars="0"/>
        <w:textAlignment w:val="auto"/>
        <w:rPr>
          <w:rFonts w:hint="eastAsia" w:ascii="仿宋" w:hAnsi="仿宋" w:eastAsia="仿宋" w:cs="仿宋"/>
          <w:color w:val="000000"/>
          <w:sz w:val="32"/>
          <w:szCs w:val="32"/>
        </w:rPr>
      </w:pPr>
      <w:r>
        <w:rPr>
          <w:rFonts w:hint="eastAsia" w:ascii="楷体" w:hAnsi="楷体" w:eastAsia="楷体" w:cs="楷体"/>
          <w:b w:val="0"/>
          <w:bCs w:val="0"/>
          <w:color w:val="auto"/>
          <w:sz w:val="32"/>
          <w:szCs w:val="32"/>
          <w:lang w:val="en-US" w:eastAsia="zh-CN"/>
        </w:rPr>
        <w:t xml:space="preserve">    </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九</w:t>
      </w:r>
      <w:r>
        <w:rPr>
          <w:rFonts w:hint="eastAsia" w:ascii="楷体" w:hAnsi="楷体" w:eastAsia="楷体" w:cs="楷体"/>
          <w:b w:val="0"/>
          <w:bCs w:val="0"/>
          <w:color w:val="auto"/>
          <w:sz w:val="32"/>
          <w:szCs w:val="32"/>
        </w:rPr>
        <w:t>）</w:t>
      </w:r>
      <w:r>
        <w:rPr>
          <w:rFonts w:hint="eastAsia" w:ascii="楷体" w:hAnsi="楷体" w:eastAsia="楷体" w:cs="楷体"/>
          <w:b w:val="0"/>
          <w:bCs/>
          <w:color w:val="auto"/>
          <w:sz w:val="32"/>
          <w:szCs w:val="32"/>
          <w:lang w:eastAsia="zh-CN"/>
        </w:rPr>
        <w:t>提高</w:t>
      </w:r>
      <w:r>
        <w:rPr>
          <w:rFonts w:hint="eastAsia" w:ascii="楷体" w:hAnsi="楷体" w:eastAsia="楷体" w:cs="楷体"/>
          <w:b w:val="0"/>
          <w:bCs/>
          <w:color w:val="auto"/>
          <w:sz w:val="32"/>
          <w:szCs w:val="32"/>
        </w:rPr>
        <w:t>安全</w:t>
      </w:r>
      <w:r>
        <w:rPr>
          <w:rFonts w:hint="eastAsia" w:ascii="楷体" w:hAnsi="楷体" w:eastAsia="楷体" w:cs="楷体"/>
          <w:b w:val="0"/>
          <w:bCs/>
          <w:color w:val="auto"/>
          <w:sz w:val="32"/>
          <w:szCs w:val="32"/>
          <w:lang w:eastAsia="zh-CN"/>
        </w:rPr>
        <w:t>意识。</w:t>
      </w:r>
      <w:r>
        <w:rPr>
          <w:rFonts w:hint="eastAsia" w:ascii="仿宋" w:hAnsi="仿宋" w:eastAsia="仿宋" w:cs="仿宋"/>
          <w:b w:val="0"/>
          <w:bCs/>
          <w:color w:val="auto"/>
          <w:sz w:val="32"/>
          <w:szCs w:val="32"/>
          <w:lang w:eastAsia="zh-CN"/>
        </w:rPr>
        <w:t>职业院校、合作企业及有关组织或单位要严格遵守国家网络与信息安全管理规范，</w:t>
      </w:r>
      <w:r>
        <w:rPr>
          <w:rFonts w:hint="eastAsia" w:ascii="仿宋" w:hAnsi="仿宋" w:eastAsia="仿宋" w:cs="仿宋"/>
          <w:b w:val="0"/>
          <w:bCs/>
          <w:color w:val="auto"/>
          <w:sz w:val="32"/>
          <w:szCs w:val="32"/>
        </w:rPr>
        <w:t>明确责任，规范</w:t>
      </w:r>
      <w:r>
        <w:rPr>
          <w:rFonts w:hint="eastAsia" w:ascii="仿宋" w:hAnsi="仿宋" w:eastAsia="仿宋" w:cs="仿宋"/>
          <w:b w:val="0"/>
          <w:bCs/>
          <w:color w:val="auto"/>
          <w:sz w:val="32"/>
          <w:szCs w:val="32"/>
          <w:lang w:eastAsia="zh-CN"/>
        </w:rPr>
        <w:t>数字资源</w:t>
      </w:r>
      <w:r>
        <w:rPr>
          <w:rFonts w:hint="eastAsia" w:ascii="仿宋" w:hAnsi="仿宋" w:eastAsia="仿宋" w:cs="仿宋"/>
          <w:b w:val="0"/>
          <w:bCs/>
          <w:color w:val="auto"/>
          <w:sz w:val="32"/>
          <w:szCs w:val="32"/>
        </w:rPr>
        <w:t>建设程序</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完善</w:t>
      </w:r>
      <w:r>
        <w:rPr>
          <w:rFonts w:hint="eastAsia" w:ascii="仿宋" w:hAnsi="仿宋" w:eastAsia="仿宋" w:cs="仿宋"/>
          <w:b w:val="0"/>
          <w:bCs/>
          <w:color w:val="auto"/>
          <w:sz w:val="32"/>
          <w:szCs w:val="32"/>
          <w:lang w:eastAsia="zh-CN"/>
        </w:rPr>
        <w:t>数字资源</w:t>
      </w:r>
      <w:r>
        <w:rPr>
          <w:rFonts w:hint="eastAsia" w:ascii="仿宋" w:hAnsi="仿宋" w:eastAsia="仿宋" w:cs="仿宋"/>
          <w:color w:val="auto"/>
          <w:sz w:val="32"/>
          <w:szCs w:val="32"/>
        </w:rPr>
        <w:t>内容审查制度，加强教学过程和平台运行监管，防范和制止</w:t>
      </w:r>
      <w:r>
        <w:rPr>
          <w:rFonts w:hint="eastAsia" w:ascii="仿宋" w:hAnsi="仿宋" w:eastAsia="仿宋" w:cs="仿宋"/>
          <w:color w:val="000000"/>
          <w:sz w:val="32"/>
          <w:szCs w:val="32"/>
        </w:rPr>
        <w:t>危害国家安全、涉密及其他不适宜网络公开传播的内容</w:t>
      </w:r>
      <w:r>
        <w:rPr>
          <w:rFonts w:hint="eastAsia" w:ascii="仿宋" w:hAnsi="仿宋" w:eastAsia="仿宋" w:cs="仿宋"/>
          <w:color w:val="auto"/>
          <w:sz w:val="32"/>
          <w:szCs w:val="32"/>
        </w:rPr>
        <w:t>传播，保障平台运行稳定和资源信息安全。</w:t>
      </w:r>
    </w:p>
    <w:p>
      <w:pPr>
        <w:pStyle w:val="7"/>
        <w:keepNext w:val="0"/>
        <w:keepLines w:val="0"/>
        <w:pageBreakBefore w:val="0"/>
        <w:kinsoku/>
        <w:wordWrap/>
        <w:overflowPunct/>
        <w:topLinePunct w:val="0"/>
        <w:autoSpaceDE/>
        <w:autoSpaceDN/>
        <w:bidi w:val="0"/>
        <w:adjustRightInd/>
        <w:snapToGrid w:val="0"/>
        <w:spacing w:before="0" w:beforeAutospacing="0" w:after="0" w:afterAutospacing="0" w:line="579" w:lineRule="exact"/>
        <w:ind w:left="0" w:leftChars="0" w:right="0" w:rightChars="0" w:firstLine="648" w:firstLineChars="200"/>
        <w:textAlignment w:val="auto"/>
        <w:rPr>
          <w:rFonts w:hint="eastAsia" w:ascii="仿宋" w:hAnsi="仿宋" w:eastAsia="仿宋" w:cs="仿宋"/>
          <w:color w:val="000000"/>
          <w:sz w:val="32"/>
          <w:szCs w:val="32"/>
        </w:rPr>
      </w:pPr>
      <w:r>
        <w:rPr>
          <w:rFonts w:hint="eastAsia" w:ascii="楷体" w:hAnsi="楷体" w:eastAsia="楷体" w:cs="楷体"/>
          <w:b w:val="0"/>
          <w:bCs/>
          <w:color w:val="auto"/>
          <w:sz w:val="32"/>
          <w:szCs w:val="32"/>
          <w:lang w:val="en-US" w:eastAsia="zh-CN"/>
        </w:rPr>
        <w:t>（十</w:t>
      </w:r>
      <w:r>
        <w:rPr>
          <w:rFonts w:hint="eastAsia" w:ascii="楷体" w:hAnsi="楷体" w:eastAsia="楷体" w:cs="楷体"/>
          <w:b w:val="0"/>
          <w:bCs/>
          <w:color w:val="auto"/>
          <w:sz w:val="32"/>
          <w:szCs w:val="32"/>
        </w:rPr>
        <w:t>）</w:t>
      </w:r>
      <w:r>
        <w:rPr>
          <w:rFonts w:hint="eastAsia" w:ascii="楷体" w:hAnsi="楷体" w:eastAsia="楷体" w:cs="楷体"/>
          <w:color w:val="auto"/>
          <w:sz w:val="32"/>
          <w:szCs w:val="32"/>
          <w:lang w:eastAsia="zh-CN"/>
        </w:rPr>
        <w:t>保护知识产权。</w:t>
      </w:r>
      <w:r>
        <w:rPr>
          <w:rFonts w:hint="eastAsia" w:ascii="仿宋" w:hAnsi="仿宋" w:eastAsia="仿宋" w:cs="仿宋"/>
          <w:color w:val="auto"/>
          <w:sz w:val="32"/>
          <w:szCs w:val="32"/>
          <w:lang w:val="en-US" w:eastAsia="zh-CN"/>
        </w:rPr>
        <w:t>职业院校</w:t>
      </w:r>
      <w:r>
        <w:rPr>
          <w:rFonts w:hint="eastAsia" w:ascii="仿宋" w:hAnsi="仿宋" w:eastAsia="仿宋" w:cs="仿宋"/>
          <w:b w:val="0"/>
          <w:bCs/>
          <w:color w:val="auto"/>
          <w:sz w:val="32"/>
          <w:szCs w:val="32"/>
          <w:lang w:eastAsia="zh-CN"/>
        </w:rPr>
        <w:t>、合作企业及有关组织或单位</w:t>
      </w:r>
      <w:r>
        <w:rPr>
          <w:rFonts w:hint="eastAsia" w:ascii="仿宋" w:hAnsi="仿宋" w:eastAsia="仿宋" w:cs="仿宋"/>
          <w:color w:val="auto"/>
          <w:sz w:val="32"/>
          <w:szCs w:val="32"/>
          <w:lang w:val="en-US" w:eastAsia="zh-CN"/>
        </w:rPr>
        <w:t>要提高知识产权保护意识，保证</w:t>
      </w:r>
      <w:r>
        <w:rPr>
          <w:rFonts w:hint="eastAsia" w:ascii="仿宋" w:hAnsi="仿宋" w:eastAsia="仿宋" w:cs="仿宋"/>
          <w:color w:val="000000"/>
          <w:sz w:val="32"/>
          <w:szCs w:val="32"/>
        </w:rPr>
        <w:t>不违反知识产权保护等国家法律、行政法规要求</w:t>
      </w:r>
      <w:r>
        <w:rPr>
          <w:rFonts w:hint="eastAsia" w:ascii="仿宋" w:hAnsi="仿宋" w:eastAsia="仿宋" w:cs="仿宋"/>
          <w:color w:val="000000"/>
          <w:sz w:val="32"/>
          <w:szCs w:val="32"/>
          <w:lang w:eastAsia="zh-CN"/>
        </w:rPr>
        <w:t>，</w:t>
      </w:r>
      <w:r>
        <w:rPr>
          <w:rFonts w:hint="eastAsia" w:ascii="仿宋" w:hAnsi="仿宋" w:eastAsia="仿宋" w:cs="仿宋"/>
          <w:color w:val="auto"/>
          <w:sz w:val="32"/>
          <w:szCs w:val="32"/>
          <w:lang w:val="en-US" w:eastAsia="zh-CN"/>
        </w:rPr>
        <w:t>不侵犯任何第三方的合法权益。</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0" w:leftChars="0" w:right="0" w:rightChars="0"/>
        <w:jc w:val="both"/>
        <w:textAlignment w:val="auto"/>
        <w:rPr>
          <w:rFonts w:hint="eastAsia" w:ascii="仿宋" w:hAnsi="仿宋" w:eastAsia="仿宋" w:cs="仿宋"/>
          <w:color w:val="auto"/>
          <w:sz w:val="32"/>
          <w:szCs w:val="32"/>
          <w:shd w:val="clear" w:fill="FFFFFF"/>
          <w:lang w:val="en-US" w:eastAsia="zh-CN"/>
        </w:rPr>
      </w:pPr>
      <w:r>
        <w:rPr>
          <w:rFonts w:hint="eastAsia" w:ascii="楷体" w:hAnsi="楷体" w:eastAsia="楷体" w:cs="楷体"/>
          <w:color w:val="auto"/>
          <w:sz w:val="32"/>
          <w:szCs w:val="32"/>
          <w:lang w:val="en-US" w:eastAsia="zh-CN"/>
        </w:rPr>
        <w:t xml:space="preserve">    （十一）</w:t>
      </w:r>
      <w:r>
        <w:rPr>
          <w:rFonts w:hint="eastAsia" w:ascii="楷体" w:hAnsi="楷体" w:eastAsia="楷体" w:cs="楷体"/>
          <w:b w:val="0"/>
          <w:bCs w:val="0"/>
          <w:color w:val="auto"/>
          <w:sz w:val="32"/>
          <w:szCs w:val="32"/>
          <w:lang w:eastAsia="zh-CN"/>
        </w:rPr>
        <w:t>保证资源质量。</w:t>
      </w:r>
      <w:r>
        <w:rPr>
          <w:rFonts w:hint="eastAsia" w:ascii="仿宋" w:hAnsi="仿宋" w:eastAsia="仿宋" w:cs="仿宋"/>
          <w:b w:val="0"/>
          <w:bCs w:val="0"/>
          <w:color w:val="auto"/>
          <w:sz w:val="32"/>
          <w:szCs w:val="32"/>
          <w:lang w:eastAsia="zh-CN"/>
        </w:rPr>
        <w:t>职业院校</w:t>
      </w:r>
      <w:r>
        <w:rPr>
          <w:rFonts w:hint="eastAsia" w:ascii="仿宋" w:hAnsi="仿宋" w:eastAsia="仿宋" w:cs="仿宋"/>
          <w:b w:val="0"/>
          <w:bCs/>
          <w:color w:val="auto"/>
          <w:sz w:val="32"/>
          <w:szCs w:val="32"/>
          <w:lang w:eastAsia="zh-CN"/>
        </w:rPr>
        <w:t>、合作企业及有关组织或单位向省</w:t>
      </w:r>
      <w:r>
        <w:rPr>
          <w:rFonts w:hint="eastAsia" w:ascii="仿宋" w:hAnsi="仿宋" w:eastAsia="仿宋" w:cs="仿宋"/>
          <w:b w:val="0"/>
          <w:bCs w:val="0"/>
          <w:color w:val="auto"/>
          <w:sz w:val="32"/>
          <w:szCs w:val="32"/>
        </w:rPr>
        <w:t>推荐</w:t>
      </w:r>
      <w:r>
        <w:rPr>
          <w:rFonts w:hint="eastAsia" w:ascii="仿宋" w:hAnsi="仿宋" w:eastAsia="仿宋" w:cs="仿宋"/>
          <w:b w:val="0"/>
          <w:bCs w:val="0"/>
          <w:color w:val="auto"/>
          <w:sz w:val="32"/>
          <w:szCs w:val="32"/>
          <w:lang w:eastAsia="zh-CN"/>
        </w:rPr>
        <w:t>的数字资源要严格进行初审，必须</w:t>
      </w:r>
      <w:r>
        <w:rPr>
          <w:rFonts w:hint="eastAsia" w:ascii="仿宋" w:hAnsi="仿宋" w:eastAsia="仿宋" w:cs="仿宋"/>
          <w:b w:val="0"/>
          <w:bCs w:val="0"/>
          <w:color w:val="auto"/>
          <w:sz w:val="32"/>
          <w:szCs w:val="32"/>
        </w:rPr>
        <w:t>是</w:t>
      </w:r>
      <w:r>
        <w:rPr>
          <w:rFonts w:hint="eastAsia" w:ascii="仿宋" w:hAnsi="仿宋" w:eastAsia="仿宋" w:cs="仿宋"/>
          <w:b w:val="0"/>
          <w:bCs w:val="0"/>
          <w:color w:val="auto"/>
          <w:sz w:val="32"/>
          <w:szCs w:val="32"/>
          <w:lang w:eastAsia="zh-CN"/>
        </w:rPr>
        <w:t>学</w:t>
      </w:r>
      <w:r>
        <w:rPr>
          <w:rFonts w:hint="eastAsia" w:ascii="仿宋" w:hAnsi="仿宋" w:eastAsia="仿宋" w:cs="仿宋"/>
          <w:b w:val="0"/>
          <w:bCs w:val="0"/>
          <w:color w:val="auto"/>
          <w:sz w:val="32"/>
          <w:szCs w:val="32"/>
        </w:rPr>
        <w:t>校在建或已经上线的</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反映学校水平的优</w:t>
      </w:r>
      <w:r>
        <w:rPr>
          <w:rFonts w:hint="eastAsia" w:ascii="仿宋" w:hAnsi="仿宋" w:eastAsia="仿宋" w:cs="仿宋"/>
          <w:b w:val="0"/>
          <w:bCs w:val="0"/>
          <w:color w:val="auto"/>
          <w:sz w:val="32"/>
          <w:szCs w:val="32"/>
          <w:lang w:eastAsia="zh-CN"/>
        </w:rPr>
        <w:t>秀数字资源</w:t>
      </w:r>
      <w:r>
        <w:rPr>
          <w:rFonts w:hint="eastAsia" w:ascii="仿宋" w:hAnsi="仿宋" w:eastAsia="仿宋" w:cs="仿宋"/>
          <w:color w:val="auto"/>
          <w:sz w:val="32"/>
          <w:szCs w:val="32"/>
          <w:shd w:val="clear" w:fill="FFFFFF"/>
          <w:lang w:val="en-US" w:eastAsia="zh-CN"/>
        </w:rPr>
        <w:t>，具有先进性和前瞻性。评审委员会要坚持质量第一、宁缺毋滥原则，严格进行数字资源建设项目的验收评审，要建立数字资源定期审查和退出制度。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黑体" w:hAnsi="黑体" w:eastAsia="黑体" w:cs="黑体"/>
          <w:color w:val="auto"/>
          <w:kern w:val="2"/>
          <w:sz w:val="32"/>
          <w:szCs w:val="32"/>
          <w:shd w:val="clear" w:fill="FFFFFF"/>
          <w:lang w:val="en-US" w:eastAsia="zh-CN" w:bidi="ar-SA"/>
        </w:rPr>
      </w:pPr>
      <w:r>
        <w:rPr>
          <w:rFonts w:hint="eastAsia" w:ascii="黑体" w:hAnsi="黑体" w:eastAsia="黑体" w:cs="黑体"/>
          <w:color w:val="auto"/>
          <w:kern w:val="2"/>
          <w:sz w:val="32"/>
          <w:szCs w:val="32"/>
          <w:shd w:val="clear" w:fill="FFFFFF"/>
          <w:lang w:val="en-US" w:eastAsia="zh-CN" w:bidi="ar-SA"/>
        </w:rPr>
        <w:t>五、工作步骤</w:t>
      </w:r>
    </w:p>
    <w:p>
      <w:pPr>
        <w:keepNext w:val="0"/>
        <w:keepLines w:val="0"/>
        <w:pageBreakBefore w:val="0"/>
        <w:kinsoku/>
        <w:wordWrap/>
        <w:overflowPunct/>
        <w:topLinePunct w:val="0"/>
        <w:autoSpaceDE/>
        <w:autoSpaceDN/>
        <w:bidi w:val="0"/>
        <w:adjustRightInd/>
        <w:snapToGrid/>
        <w:spacing w:line="579" w:lineRule="exact"/>
        <w:ind w:left="0" w:leftChars="0" w:right="0" w:rightChars="0"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eastAsia="zh-CN"/>
        </w:rPr>
        <w:t>数字资源建设与应用应依托</w:t>
      </w:r>
      <w:r>
        <w:rPr>
          <w:rFonts w:ascii="Times New Roman" w:hAnsi="Times New Roman" w:eastAsia="仿宋_GB2312"/>
          <w:color w:val="auto"/>
          <w:sz w:val="32"/>
          <w:szCs w:val="32"/>
        </w:rPr>
        <w:t>符合</w:t>
      </w:r>
      <w:r>
        <w:rPr>
          <w:rFonts w:hint="eastAsia" w:ascii="Times New Roman" w:hAnsi="Times New Roman" w:eastAsia="仿宋_GB2312"/>
          <w:color w:val="auto"/>
          <w:sz w:val="32"/>
          <w:szCs w:val="32"/>
          <w:lang w:eastAsia="zh-CN"/>
        </w:rPr>
        <w:t>数字</w:t>
      </w:r>
      <w:r>
        <w:rPr>
          <w:rFonts w:ascii="Times New Roman" w:hAnsi="Times New Roman" w:eastAsia="仿宋_GB2312"/>
          <w:color w:val="auto"/>
          <w:sz w:val="32"/>
          <w:szCs w:val="32"/>
        </w:rPr>
        <w:t>资源运行技术要求</w:t>
      </w:r>
      <w:r>
        <w:rPr>
          <w:rFonts w:hint="eastAsia" w:ascii="Times New Roman" w:hAnsi="Times New Roman" w:eastAsia="仿宋_GB2312"/>
          <w:color w:val="auto"/>
          <w:sz w:val="32"/>
          <w:szCs w:val="32"/>
          <w:lang w:eastAsia="zh-CN"/>
        </w:rPr>
        <w:t>的</w:t>
      </w:r>
      <w:r>
        <w:rPr>
          <w:rFonts w:hint="eastAsia" w:ascii="Times New Roman" w:hAnsi="Times New Roman" w:eastAsia="仿宋_GB2312"/>
          <w:color w:val="auto"/>
          <w:sz w:val="32"/>
          <w:szCs w:val="32"/>
        </w:rPr>
        <w:t>网络平台，</w:t>
      </w:r>
      <w:r>
        <w:rPr>
          <w:rFonts w:ascii="Times New Roman" w:hAnsi="Times New Roman" w:eastAsia="仿宋_GB2312"/>
          <w:color w:val="auto"/>
          <w:sz w:val="32"/>
          <w:szCs w:val="32"/>
        </w:rPr>
        <w:t>按照“自主建设、省级统筹、</w:t>
      </w:r>
      <w:r>
        <w:rPr>
          <w:rFonts w:hint="eastAsia" w:ascii="Times New Roman" w:hAnsi="Times New Roman" w:eastAsia="仿宋_GB2312"/>
          <w:color w:val="auto"/>
          <w:sz w:val="32"/>
          <w:szCs w:val="32"/>
          <w:lang w:eastAsia="zh-CN"/>
        </w:rPr>
        <w:t>分级</w:t>
      </w:r>
      <w:r>
        <w:rPr>
          <w:rFonts w:ascii="Times New Roman" w:hAnsi="Times New Roman" w:eastAsia="仿宋_GB2312"/>
          <w:color w:val="auto"/>
          <w:sz w:val="32"/>
          <w:szCs w:val="32"/>
        </w:rPr>
        <w:t>遴选、</w:t>
      </w:r>
      <w:r>
        <w:rPr>
          <w:rFonts w:hint="eastAsia" w:ascii="Times New Roman" w:hAnsi="Times New Roman" w:eastAsia="仿宋_GB2312"/>
          <w:color w:val="auto"/>
          <w:sz w:val="32"/>
          <w:szCs w:val="32"/>
          <w:lang w:eastAsia="zh-CN"/>
        </w:rPr>
        <w:t>重点</w:t>
      </w:r>
      <w:r>
        <w:rPr>
          <w:rFonts w:ascii="Times New Roman" w:hAnsi="Times New Roman" w:eastAsia="仿宋_GB2312"/>
          <w:color w:val="auto"/>
          <w:sz w:val="32"/>
          <w:szCs w:val="32"/>
        </w:rPr>
        <w:t>支持、边建边用、验收评议、持续应用”的方式开展</w:t>
      </w:r>
      <w:r>
        <w:rPr>
          <w:rFonts w:hint="eastAsia" w:ascii="Times New Roman" w:hAnsi="Times New Roman" w:eastAsia="仿宋_GB2312"/>
          <w:color w:val="auto"/>
          <w:sz w:val="32"/>
          <w:szCs w:val="32"/>
          <w:lang w:eastAsia="zh-CN"/>
        </w:rPr>
        <w:t>。</w:t>
      </w:r>
    </w:p>
    <w:p>
      <w:pPr>
        <w:keepNext w:val="0"/>
        <w:keepLines w:val="0"/>
        <w:pageBreakBefore w:val="0"/>
        <w:numPr>
          <w:ilvl w:val="0"/>
          <w:numId w:val="4"/>
        </w:numPr>
        <w:kinsoku/>
        <w:wordWrap/>
        <w:overflowPunct/>
        <w:topLinePunct w:val="0"/>
        <w:autoSpaceDE/>
        <w:autoSpaceDN/>
        <w:bidi w:val="0"/>
        <w:adjustRightInd/>
        <w:snapToGrid/>
        <w:spacing w:line="579" w:lineRule="exact"/>
        <w:ind w:left="0" w:leftChars="0" w:right="0" w:rightChars="0" w:firstLine="640" w:firstLineChars="200"/>
        <w:textAlignment w:val="auto"/>
        <w:rPr>
          <w:rFonts w:hint="eastAsia" w:ascii="楷体" w:hAnsi="楷体" w:eastAsia="楷体" w:cs="楷体"/>
          <w:color w:val="auto"/>
          <w:kern w:val="0"/>
          <w:sz w:val="32"/>
          <w:szCs w:val="32"/>
          <w:lang w:val="en-US" w:eastAsia="zh-CN" w:bidi="ar"/>
        </w:rPr>
      </w:pPr>
      <w:r>
        <w:rPr>
          <w:rFonts w:hint="eastAsia" w:ascii="楷体" w:hAnsi="楷体" w:eastAsia="楷体" w:cs="楷体"/>
          <w:color w:val="auto"/>
          <w:kern w:val="0"/>
          <w:sz w:val="32"/>
          <w:szCs w:val="32"/>
          <w:lang w:val="en-US" w:eastAsia="zh-CN" w:bidi="ar"/>
        </w:rPr>
        <w:t>做好建设项目规划</w:t>
      </w:r>
    </w:p>
    <w:p>
      <w:pPr>
        <w:keepNext w:val="0"/>
        <w:keepLines w:val="0"/>
        <w:pageBreakBefore w:val="0"/>
        <w:numPr>
          <w:ilvl w:val="0"/>
          <w:numId w:val="0"/>
        </w:numPr>
        <w:kinsoku/>
        <w:wordWrap/>
        <w:overflowPunct/>
        <w:topLinePunct w:val="0"/>
        <w:autoSpaceDE/>
        <w:autoSpaceDN/>
        <w:bidi w:val="0"/>
        <w:adjustRightInd/>
        <w:snapToGrid/>
        <w:spacing w:line="579" w:lineRule="exact"/>
        <w:ind w:right="0" w:rightChars="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val="en-US" w:eastAsia="zh-CN"/>
        </w:rPr>
        <w:t xml:space="preserve">    </w:t>
      </w:r>
      <w:r>
        <w:rPr>
          <w:rFonts w:hint="eastAsia" w:ascii="Times New Roman" w:hAnsi="Times New Roman" w:eastAsia="仿宋_GB2312"/>
          <w:color w:val="auto"/>
          <w:sz w:val="32"/>
          <w:szCs w:val="32"/>
          <w:lang w:eastAsia="zh-CN"/>
        </w:rPr>
        <w:t>职业院校和省级职教集团</w:t>
      </w:r>
      <w:r>
        <w:rPr>
          <w:rFonts w:hint="eastAsia" w:ascii="Times New Roman" w:hAnsi="Times New Roman" w:eastAsia="仿宋_GB2312"/>
          <w:color w:val="auto"/>
          <w:sz w:val="32"/>
          <w:szCs w:val="32"/>
          <w:lang w:val="en-US" w:eastAsia="zh-CN"/>
        </w:rPr>
        <w:t>数字资源建设项目的选取应符合职业教育人才培养需求和发展趋势。职业院校数字资源建设项目应符合本校总体工作安排，应与承接的职业教育提质培优行动计划任务（项目）（2020—2023年）统筹规划实施，同向发力。</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（二）依托平台开发建设</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sz w:val="32"/>
          <w:szCs w:val="32"/>
          <w:shd w:val="clear" w:fill="FFFFFF"/>
          <w:lang w:val="en-US" w:eastAsia="zh-CN"/>
        </w:rPr>
      </w:pPr>
      <w:r>
        <w:rPr>
          <w:rFonts w:hint="eastAsia" w:ascii="楷体" w:hAnsi="楷体" w:eastAsia="楷体" w:cs="楷体"/>
          <w:color w:val="auto"/>
          <w:sz w:val="32"/>
          <w:szCs w:val="32"/>
          <w:lang w:val="en-US" w:eastAsia="zh-CN"/>
        </w:rPr>
        <w:t xml:space="preserve">    </w:t>
      </w:r>
      <w:r>
        <w:rPr>
          <w:rFonts w:hint="eastAsia" w:ascii="仿宋" w:hAnsi="仿宋" w:eastAsia="仿宋" w:cs="仿宋"/>
          <w:color w:val="auto"/>
          <w:kern w:val="0"/>
          <w:sz w:val="32"/>
          <w:szCs w:val="32"/>
          <w:shd w:val="clear" w:fill="FFFFFF"/>
          <w:lang w:val="en-US" w:eastAsia="zh-CN" w:bidi="ar"/>
        </w:rPr>
        <w:t>1.开展数字资源建设要有数字</w:t>
      </w:r>
      <w:r>
        <w:rPr>
          <w:rFonts w:hint="eastAsia" w:ascii="Times New Roman" w:hAnsi="Times New Roman" w:eastAsia="仿宋_GB2312" w:cstheme="minorBidi"/>
          <w:color w:val="auto"/>
          <w:kern w:val="2"/>
          <w:sz w:val="32"/>
          <w:szCs w:val="32"/>
          <w:lang w:val="en-US" w:eastAsia="zh-CN" w:bidi="ar-SA"/>
        </w:rPr>
        <w:t>化平台支撑，可自主选择服务平台（管理系统），自主选择服务平台（管理系统）的职业院校或省级职教集团的选定单位自行承担数据安全防护</w:t>
      </w:r>
      <w:r>
        <w:rPr>
          <w:rFonts w:hint="eastAsia" w:ascii="仿宋" w:hAnsi="仿宋" w:eastAsia="仿宋" w:cs="仿宋"/>
          <w:color w:val="auto"/>
          <w:kern w:val="0"/>
          <w:sz w:val="32"/>
          <w:szCs w:val="32"/>
          <w:shd w:val="clear" w:fill="FFFFFF"/>
          <w:lang w:val="en-US" w:eastAsia="zh-CN" w:bidi="ar"/>
        </w:rPr>
        <w:t>的主体责任。教学资源建设项目主持单位或个人需在规定时间内登录相关服务平台（管理系统）开通账号，一般服务平台（管理系统）应支持多个账号同时工作；数字资源建设团队要按照相关服务平台（管理系统）规定的时间上传或在线编辑数字资源建设项目资料。</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2.职业院校或省级职教集团数字资源建设团队在充分了解服务平台（管理系统）支持功能的基础上，分工合作开展数字资源建设，精品课程建设至少经过两个教学周期的建设及应用。</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lang w:eastAsia="zh-CN"/>
        </w:rPr>
      </w:pPr>
      <w:r>
        <w:rPr>
          <w:rFonts w:hint="eastAsia" w:ascii="楷体" w:hAnsi="楷体" w:eastAsia="楷体" w:cs="楷体"/>
          <w:color w:val="auto"/>
          <w:sz w:val="32"/>
          <w:szCs w:val="32"/>
          <w:lang w:eastAsia="zh-CN"/>
        </w:rPr>
        <w:t>（三）建设项目申请验收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1.职业院校或省级职教集团数字资源建设团队的项目完成后，先经所在院校验收，验收合格后再通过所在院校或省级职教集团向评审委员会提出验收申请。</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2.每年12月底前，数字资源建设项目以学校或以省级职教集团为单位，自愿向评审委员会提交由学校或省级职教集团盖章的《河北省职业教育数字教学资源建设项目验收申请书》（附件1）及《河北省职业教育数字教学资源建设申请验收项目汇总表》（附件2），上传管理平台“河北省职教云平台”（https://hebei.icve.com.cn）。</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3.在保障数字资源质量的前提下，申请验收名额不限。已认定为国家级或省级有关类型的数字资源项目不得重复申报。</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79" w:lineRule="exact"/>
        <w:ind w:left="640" w:leftChars="0" w:right="0" w:rightChars="0"/>
        <w:textAlignment w:val="auto"/>
        <w:rPr>
          <w:rFonts w:hint="eastAsia" w:ascii="楷体" w:hAnsi="楷体" w:eastAsia="楷体" w:cs="楷体"/>
          <w:color w:val="auto"/>
          <w:kern w:val="0"/>
          <w:sz w:val="32"/>
          <w:szCs w:val="32"/>
          <w:shd w:val="clear" w:fill="FFFFFF"/>
          <w:lang w:val="en-US" w:eastAsia="zh-CN" w:bidi="ar"/>
        </w:rPr>
      </w:pPr>
      <w:r>
        <w:rPr>
          <w:rFonts w:hint="eastAsia" w:ascii="楷体" w:hAnsi="楷体" w:eastAsia="楷体" w:cs="楷体"/>
          <w:color w:val="auto"/>
          <w:kern w:val="0"/>
          <w:sz w:val="32"/>
          <w:szCs w:val="32"/>
          <w:shd w:val="clear" w:fill="FFFFFF"/>
          <w:lang w:val="en-US" w:eastAsia="zh-CN" w:bidi="ar"/>
        </w:rPr>
        <w:t>（四）建设项目评审验收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right="0" w:rightChars="0"/>
        <w:jc w:val="left"/>
        <w:textAlignment w:val="auto"/>
        <w:outlineLvl w:val="9"/>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sz w:val="32"/>
          <w:szCs w:val="32"/>
          <w:shd w:val="clear" w:fill="FFFFFF"/>
          <w:lang w:val="en-US" w:eastAsia="zh-CN"/>
        </w:rPr>
        <w:t xml:space="preserve">    </w:t>
      </w:r>
      <w:r>
        <w:rPr>
          <w:rFonts w:hint="eastAsia" w:ascii="仿宋" w:hAnsi="仿宋" w:eastAsia="仿宋" w:cs="仿宋"/>
          <w:color w:val="auto"/>
          <w:kern w:val="0"/>
          <w:sz w:val="32"/>
          <w:szCs w:val="32"/>
          <w:shd w:val="clear" w:fill="FFFFFF"/>
          <w:lang w:val="en-US" w:eastAsia="zh-CN" w:bidi="ar"/>
        </w:rPr>
        <w:t>每年12月底至次年1月上旬，评审委员会汇总全省申请验收的数字资源建设项目信息，一般于寒假前组织专家进行评审。评审委员会根据申请验收的数字资源建设项目数量和涉及的专业领域组建若干专家评审小组，依据《河北省职业教育数字教学资源建设标准》（附件3）进行评审验收。自主选择资源建设服务平台（管理系统）的职业院校要积极配合开展项目审查和验收。</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640" w:leftChars="0" w:right="0" w:rightChars="0"/>
        <w:jc w:val="left"/>
        <w:textAlignment w:val="auto"/>
        <w:outlineLvl w:val="9"/>
        <w:rPr>
          <w:rFonts w:hint="eastAsia" w:ascii="楷体" w:hAnsi="楷体" w:eastAsia="楷体" w:cs="楷体"/>
          <w:color w:val="auto"/>
          <w:sz w:val="32"/>
          <w:szCs w:val="32"/>
          <w:shd w:val="clear" w:fill="FFFFFF"/>
          <w:lang w:val="en-US" w:eastAsia="zh-CN"/>
        </w:rPr>
      </w:pPr>
      <w:r>
        <w:rPr>
          <w:rFonts w:hint="eastAsia" w:ascii="楷体" w:hAnsi="楷体" w:eastAsia="楷体" w:cs="楷体"/>
          <w:color w:val="auto"/>
          <w:sz w:val="32"/>
          <w:szCs w:val="32"/>
          <w:shd w:val="clear" w:fill="FFFFFF"/>
          <w:lang w:val="en-US" w:eastAsia="zh-CN"/>
        </w:rPr>
        <w:t>（五）建设项目结果认定</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0" w:leftChars="0" w:right="0" w:rightChars="0" w:firstLine="64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评审委员会将达到省级水平的数字资源建设项目评审验收结果报省级教育行政部门审定，通过审定后，省级教育行政部门相应地认定为省级优质专业教学资源库、精品在线课程、优秀数字教材或虚拟仿真实训示范课程，并公布结果和颁发证书。</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left="640" w:leftChars="0" w:right="0" w:rightChars="0"/>
        <w:jc w:val="both"/>
        <w:textAlignment w:val="auto"/>
        <w:rPr>
          <w:rFonts w:hint="eastAsia" w:ascii="楷体" w:hAnsi="楷体" w:eastAsia="楷体" w:cs="楷体"/>
          <w:b w:val="0"/>
          <w:bCs w:val="0"/>
          <w:color w:val="auto"/>
          <w:sz w:val="32"/>
          <w:szCs w:val="32"/>
          <w:lang w:val="en-US" w:eastAsia="zh-CN"/>
        </w:rPr>
      </w:pPr>
      <w:r>
        <w:rPr>
          <w:rFonts w:hint="eastAsia" w:ascii="楷体" w:hAnsi="楷体" w:eastAsia="楷体" w:cs="楷体"/>
          <w:b w:val="0"/>
          <w:bCs w:val="0"/>
          <w:color w:val="auto"/>
          <w:sz w:val="32"/>
          <w:szCs w:val="32"/>
          <w:lang w:val="en-US" w:eastAsia="zh-CN"/>
        </w:rPr>
        <w:t>（六）数字资源应用及推广</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sz w:val="32"/>
          <w:szCs w:val="32"/>
          <w:shd w:val="clear" w:fill="FFFFFF"/>
          <w:lang w:val="en-US" w:eastAsia="zh-CN"/>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color w:val="auto"/>
          <w:kern w:val="0"/>
          <w:sz w:val="32"/>
          <w:szCs w:val="32"/>
          <w:shd w:val="clear" w:fill="FFFFFF"/>
          <w:lang w:val="en-US" w:eastAsia="zh-CN" w:bidi="ar"/>
        </w:rPr>
        <w:t xml:space="preserve"> 为推广和应用省级数字资源，发挥其示范引领作用，建设省级数字资源的团队、学校或集团，要在评审委员会的指导协调下，积极与服务平台（管理系统）技术支撑企业协商，合理合法运用市场化数字资源推广应用方式，面向全省职业院校和社会学习者提供数字资源共享渠道，促进数字资源广泛应用，扩大社会影响。</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支持服务</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480"/>
        <w:jc w:val="both"/>
        <w:textAlignment w:val="auto"/>
        <w:rPr>
          <w:rFonts w:hint="eastAsia" w:ascii="仿宋" w:hAnsi="仿宋" w:eastAsia="仿宋" w:cs="仿宋"/>
          <w:b w:val="0"/>
          <w:bCs w:val="0"/>
          <w:color w:val="auto"/>
          <w:sz w:val="32"/>
          <w:szCs w:val="32"/>
        </w:rPr>
      </w:pP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一</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支持服务人员</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刘建芬 电话：0311-86961199、18931993779 </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right="0" w:rightChars="0"/>
        <w:jc w:val="both"/>
        <w:textAlignment w:val="auto"/>
        <w:rPr>
          <w:rFonts w:hint="eastAsia" w:ascii="仿宋" w:hAnsi="仿宋" w:eastAsia="仿宋" w:cs="仿宋"/>
          <w:color w:val="auto"/>
          <w:kern w:val="0"/>
          <w:sz w:val="32"/>
          <w:szCs w:val="32"/>
          <w:shd w:val="clear" w:fill="FFFFFF"/>
          <w:lang w:val="en-US" w:eastAsia="zh-CN" w:bidi="ar"/>
        </w:rPr>
      </w:pPr>
      <w:r>
        <w:rPr>
          <w:rFonts w:hint="eastAsia" w:ascii="仿宋" w:hAnsi="仿宋" w:eastAsia="仿宋" w:cs="仿宋"/>
          <w:color w:val="auto"/>
          <w:kern w:val="0"/>
          <w:sz w:val="32"/>
          <w:szCs w:val="32"/>
          <w:shd w:val="clear" w:fill="FFFFFF"/>
          <w:lang w:val="en-US" w:eastAsia="zh-CN" w:bidi="ar"/>
        </w:rPr>
        <w:t xml:space="preserve">    娄  雨 电话：0335-5926829</w:t>
      </w:r>
    </w:p>
    <w:p>
      <w:pPr>
        <w:keepNext w:val="0"/>
        <w:keepLines w:val="0"/>
        <w:pageBreakBefore w:val="0"/>
        <w:widowControl/>
        <w:shd w:val="clear" w:color="auto" w:fill="FFFFFF"/>
        <w:kinsoku/>
        <w:wordWrap/>
        <w:overflowPunct/>
        <w:topLinePunct w:val="0"/>
        <w:autoSpaceDE/>
        <w:autoSpaceDN/>
        <w:bidi w:val="0"/>
        <w:adjustRightInd/>
        <w:snapToGrid/>
        <w:spacing w:line="579" w:lineRule="exact"/>
        <w:ind w:left="0" w:leftChars="0" w:right="0" w:rightChars="0" w:firstLine="480"/>
        <w:jc w:val="both"/>
        <w:textAlignment w:val="auto"/>
        <w:rPr>
          <w:rFonts w:ascii="仿宋" w:hAnsi="仿宋" w:eastAsia="仿宋" w:cs="仿宋"/>
          <w:b w:val="0"/>
          <w:bCs w:val="0"/>
          <w:color w:val="auto"/>
          <w:sz w:val="32"/>
          <w:szCs w:val="32"/>
        </w:rPr>
      </w:pP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eastAsia="zh-CN"/>
        </w:rPr>
        <w:t>二</w:t>
      </w:r>
      <w:r>
        <w:rPr>
          <w:rFonts w:hint="eastAsia" w:ascii="楷体" w:hAnsi="楷体" w:eastAsia="楷体" w:cs="楷体"/>
          <w:b w:val="0"/>
          <w:bCs w:val="0"/>
          <w:color w:val="auto"/>
          <w:sz w:val="32"/>
          <w:szCs w:val="32"/>
        </w:rPr>
        <w:t>）QQ工作群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val="0"/>
          <w:bCs w:val="0"/>
          <w:color w:val="auto"/>
          <w:sz w:val="32"/>
          <w:szCs w:val="32"/>
        </w:rPr>
        <w:t>为方便工作交流和技术</w:t>
      </w:r>
      <w:r>
        <w:rPr>
          <w:rFonts w:hint="eastAsia" w:ascii="仿宋" w:hAnsi="仿宋" w:eastAsia="仿宋" w:cs="仿宋"/>
          <w:color w:val="auto"/>
          <w:sz w:val="32"/>
          <w:szCs w:val="32"/>
        </w:rPr>
        <w:t>服务，请各单位项目</w:t>
      </w:r>
      <w:r>
        <w:rPr>
          <w:rFonts w:hint="eastAsia" w:ascii="仿宋" w:hAnsi="仿宋" w:eastAsia="仿宋" w:cs="仿宋"/>
          <w:color w:val="auto"/>
          <w:sz w:val="32"/>
          <w:szCs w:val="32"/>
          <w:lang w:eastAsia="zh-CN"/>
        </w:rPr>
        <w:t>教师</w:t>
      </w:r>
      <w:r>
        <w:rPr>
          <w:rFonts w:hint="eastAsia" w:ascii="仿宋" w:hAnsi="仿宋" w:eastAsia="仿宋" w:cs="仿宋"/>
          <w:color w:val="auto"/>
          <w:sz w:val="32"/>
          <w:szCs w:val="32"/>
        </w:rPr>
        <w:t>加入QQ工作技术服务群，QQ群号：498168647</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color w:val="auto"/>
          <w:sz w:val="32"/>
          <w:szCs w:val="32"/>
          <w:lang w:val="en-US" w:eastAsia="zh-CN"/>
        </w:rPr>
        <w:t>附件：1.</w:t>
      </w:r>
      <w:r>
        <w:rPr>
          <w:rFonts w:hint="eastAsia" w:ascii="仿宋" w:hAnsi="仿宋" w:eastAsia="仿宋" w:cs="仿宋"/>
          <w:b w:val="0"/>
          <w:bCs w:val="0"/>
          <w:color w:val="auto"/>
          <w:sz w:val="32"/>
          <w:szCs w:val="32"/>
          <w:lang w:eastAsia="zh-CN"/>
        </w:rPr>
        <w:t>《河北</w:t>
      </w:r>
      <w:r>
        <w:rPr>
          <w:rFonts w:hint="eastAsia" w:ascii="仿宋" w:hAnsi="仿宋" w:eastAsia="仿宋" w:cs="仿宋"/>
          <w:b w:val="0"/>
          <w:bCs w:val="0"/>
          <w:color w:val="auto"/>
          <w:sz w:val="32"/>
          <w:szCs w:val="32"/>
        </w:rPr>
        <w:t>省职业</w:t>
      </w:r>
      <w:r>
        <w:rPr>
          <w:rFonts w:hint="eastAsia" w:ascii="仿宋" w:hAnsi="仿宋" w:eastAsia="仿宋" w:cs="仿宋"/>
          <w:b w:val="0"/>
          <w:bCs w:val="0"/>
          <w:color w:val="auto"/>
          <w:sz w:val="32"/>
          <w:szCs w:val="32"/>
          <w:lang w:eastAsia="zh-CN"/>
        </w:rPr>
        <w:t>教育数字教学资源建设项目验收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lang w:eastAsia="zh-CN"/>
        </w:rPr>
        <w:t>申请书》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color w:val="auto"/>
          <w:sz w:val="32"/>
          <w:szCs w:val="32"/>
          <w:shd w:val="clear" w:fill="FFFFFF"/>
          <w:lang w:val="en-US" w:eastAsia="zh-CN"/>
        </w:rPr>
        <w:t xml:space="preserve">      2.</w:t>
      </w:r>
      <w:r>
        <w:rPr>
          <w:rFonts w:hint="eastAsia" w:ascii="仿宋" w:hAnsi="仿宋" w:eastAsia="仿宋" w:cs="仿宋"/>
          <w:b w:val="0"/>
          <w:bCs w:val="0"/>
          <w:color w:val="auto"/>
          <w:sz w:val="32"/>
          <w:szCs w:val="32"/>
          <w:lang w:eastAsia="zh-CN"/>
        </w:rPr>
        <w:t>《河北</w:t>
      </w:r>
      <w:r>
        <w:rPr>
          <w:rFonts w:hint="eastAsia" w:ascii="仿宋" w:hAnsi="仿宋" w:eastAsia="仿宋" w:cs="仿宋"/>
          <w:b w:val="0"/>
          <w:bCs w:val="0"/>
          <w:color w:val="auto"/>
          <w:sz w:val="32"/>
          <w:szCs w:val="32"/>
        </w:rPr>
        <w:t>省职业</w:t>
      </w:r>
      <w:r>
        <w:rPr>
          <w:rFonts w:hint="eastAsia" w:ascii="仿宋" w:hAnsi="仿宋" w:eastAsia="仿宋" w:cs="仿宋"/>
          <w:b w:val="0"/>
          <w:bCs w:val="0"/>
          <w:color w:val="auto"/>
          <w:sz w:val="32"/>
          <w:szCs w:val="32"/>
          <w:lang w:eastAsia="zh-CN"/>
        </w:rPr>
        <w:t>教育数字教学资源建设项目验收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val="en-US" w:eastAsia="zh-CN"/>
        </w:rPr>
        <w:t xml:space="preserve">         </w:t>
      </w:r>
      <w:r>
        <w:rPr>
          <w:rFonts w:hint="eastAsia" w:ascii="仿宋" w:hAnsi="仿宋" w:eastAsia="仿宋" w:cs="仿宋"/>
          <w:b w:val="0"/>
          <w:bCs w:val="0"/>
          <w:color w:val="auto"/>
          <w:sz w:val="32"/>
          <w:szCs w:val="32"/>
          <w:lang w:eastAsia="zh-CN"/>
        </w:rPr>
        <w:t>报名汇总表》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val="en-US" w:eastAsia="zh-CN"/>
        </w:rPr>
        <w:t xml:space="preserve">      3.</w:t>
      </w:r>
      <w:r>
        <w:rPr>
          <w:rFonts w:hint="eastAsia" w:ascii="仿宋" w:hAnsi="仿宋" w:eastAsia="仿宋" w:cs="仿宋"/>
          <w:color w:val="auto"/>
          <w:sz w:val="32"/>
          <w:szCs w:val="32"/>
          <w:shd w:val="clear" w:fill="FFFFFF"/>
          <w:lang w:val="en-US" w:eastAsia="zh-CN"/>
        </w:rPr>
        <w:t>《河北省职业教育</w:t>
      </w:r>
      <w:r>
        <w:rPr>
          <w:rFonts w:hint="eastAsia" w:ascii="仿宋" w:hAnsi="仿宋" w:eastAsia="仿宋" w:cs="仿宋"/>
          <w:b w:val="0"/>
          <w:bCs w:val="0"/>
          <w:color w:val="auto"/>
          <w:sz w:val="32"/>
          <w:szCs w:val="32"/>
          <w:lang w:eastAsia="zh-CN"/>
        </w:rPr>
        <w:t>数字教学资源建设标准》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leftChars="0" w:right="0" w:rightChars="0" w:firstLine="640" w:firstLineChars="0"/>
        <w:jc w:val="left"/>
        <w:textAlignment w:val="auto"/>
        <w:outlineLvl w:val="9"/>
        <w:rPr>
          <w:rFonts w:hint="eastAsia" w:ascii="仿宋" w:hAnsi="仿宋" w:eastAsia="仿宋" w:cs="仿宋"/>
          <w:color w:val="auto"/>
          <w:sz w:val="32"/>
          <w:szCs w:val="32"/>
          <w:shd w:val="clear" w:fill="FFFFFF"/>
          <w:lang w:val="en-US" w:eastAsia="zh-CN"/>
        </w:rPr>
      </w:pPr>
      <w:r>
        <w:rPr>
          <w:rFonts w:hint="eastAsia" w:ascii="仿宋" w:hAnsi="仿宋" w:eastAsia="仿宋" w:cs="仿宋"/>
          <w:b w:val="0"/>
          <w:bCs w:val="0"/>
          <w:color w:val="auto"/>
          <w:sz w:val="32"/>
          <w:szCs w:val="32"/>
          <w:lang w:val="en-US" w:eastAsia="zh-CN"/>
        </w:rPr>
        <w:t xml:space="preserve">                            </w:t>
      </w:r>
      <w:bookmarkStart w:id="1" w:name="_GoBack"/>
      <w:bookmarkEnd w:id="1"/>
    </w:p>
    <w:sectPr>
      <w:headerReference r:id="rId3" w:type="default"/>
      <w:footerReference r:id="rId4" w:type="default"/>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apple-system">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0" w:usb3="00000000" w:csb0="2000019F" w:csb1="00000000"/>
  </w:font>
  <w:font w:name="PingFang SC">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方正大标宋简体">
    <w:altName w:val="微软雅黑"/>
    <w:panose1 w:val="03000509000000000000"/>
    <w:charset w:val="86"/>
    <w:family w:val="script"/>
    <w:pitch w:val="default"/>
    <w:sig w:usb0="00000000" w:usb1="00000000" w:usb2="00000010" w:usb3="00000000" w:csb0="00040000" w:csb1="00000000"/>
  </w:font>
  <w:font w:name="方正宋黑简体">
    <w:altName w:val="宋体"/>
    <w:panose1 w:val="03000509000000000000"/>
    <w:charset w:val="86"/>
    <w:family w:val="script"/>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黑体@.....">
    <w:altName w:val="黑体"/>
    <w:panose1 w:val="00000000000000000000"/>
    <w:charset w:val="86"/>
    <w:family w:val="swiss"/>
    <w:pitch w:val="default"/>
    <w:sig w:usb0="00000000" w:usb1="00000000" w:usb2="00000010" w:usb3="00000000" w:csb0="00040000" w:csb1="00000000"/>
  </w:font>
  <w:font w:name="方正综艺简体">
    <w:altName w:val="微软雅黑"/>
    <w:panose1 w:val="03000509000000000000"/>
    <w:charset w:val="86"/>
    <w:family w:val="script"/>
    <w:pitch w:val="default"/>
    <w:sig w:usb0="00000000" w:usb1="00000000" w:usb2="00000010" w:usb3="00000000" w:csb0="00040000" w:csb1="00000000"/>
  </w:font>
  <w:font w:name="ALKATIP Basma Tom">
    <w:altName w:val="Arial"/>
    <w:panose1 w:val="00000000000000000000"/>
    <w:charset w:val="00"/>
    <w:family w:val="auto"/>
    <w:pitch w:val="default"/>
    <w:sig w:usb0="00000000" w:usb1="00000000" w:usb2="00000000" w:usb3="00000000" w:csb0="00000001" w:csb1="00000000"/>
  </w:font>
  <w:font w:name="Heiti SC Light">
    <w:altName w:val="Times New Roman"/>
    <w:panose1 w:val="00000000000000000000"/>
    <w:charset w:val="50"/>
    <w:family w:val="auto"/>
    <w:pitch w:val="default"/>
    <w:sig w:usb0="00000000" w:usb1="00000000" w:usb2="00000000" w:usb3="00000000" w:csb0="00000000" w:csb1="00000000"/>
  </w:font>
  <w:font w:name="Bookman Old Style">
    <w:altName w:val="Segoe Print"/>
    <w:panose1 w:val="02050604050505020204"/>
    <w:charset w:val="00"/>
    <w:family w:val="roman"/>
    <w:pitch w:val="default"/>
    <w:sig w:usb0="00000000" w:usb1="00000000" w:usb2="00000000" w:usb3="00000000" w:csb0="2000009F" w:csb1="DFD70000"/>
  </w:font>
  <w:font w:name="ˎ̥">
    <w:altName w:val="Times New Roman"/>
    <w:panose1 w:val="00000000000000000000"/>
    <w:charset w:val="00"/>
    <w:family w:val="roman"/>
    <w:pitch w:val="default"/>
    <w:sig w:usb0="00000000" w:usb1="00000000" w:usb2="00000000" w:usb3="00000000" w:csb0="00040001" w:csb1="00000000"/>
  </w:font>
  <w:font w:name="方正水柱简体">
    <w:altName w:val="微软雅黑"/>
    <w:panose1 w:val="03000509000000000000"/>
    <w:charset w:val="86"/>
    <w:family w:val="script"/>
    <w:pitch w:val="default"/>
    <w:sig w:usb0="00000000" w:usb1="00000000" w:usb2="00000010" w:usb3="00000000" w:csb0="00040000" w:csb1="00000000"/>
  </w:font>
  <w:font w:name="方正粗宋简体">
    <w:altName w:val="宋体"/>
    <w:panose1 w:val="03000509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方正细黑一简体">
    <w:altName w:val="黑体"/>
    <w:panose1 w:val="03000509000000000000"/>
    <w:charset w:val="86"/>
    <w:family w:val="script"/>
    <w:pitch w:val="default"/>
    <w:sig w:usb0="00000000" w:usb1="00000000" w:usb2="00000010" w:usb3="00000000" w:csb0="00040000" w:csb1="00000000"/>
  </w:font>
  <w:font w:name="方正细等线简体">
    <w:altName w:val="宋体"/>
    <w:panose1 w:val="03000509000000000000"/>
    <w:charset w:val="86"/>
    <w:family w:val="script"/>
    <w:pitch w:val="default"/>
    <w:sig w:usb0="00000000" w:usb1="00000000" w:usb2="00000010" w:usb3="00000000" w:csb0="0004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DF5E4"/>
    <w:multiLevelType w:val="singleLevel"/>
    <w:tmpl w:val="603DF5E4"/>
    <w:lvl w:ilvl="0" w:tentative="0">
      <w:start w:val="1"/>
      <w:numFmt w:val="chineseCounting"/>
      <w:suff w:val="nothing"/>
      <w:lvlText w:val="%1、"/>
      <w:lvlJc w:val="left"/>
    </w:lvl>
  </w:abstractNum>
  <w:abstractNum w:abstractNumId="1">
    <w:nsid w:val="6049C93D"/>
    <w:multiLevelType w:val="singleLevel"/>
    <w:tmpl w:val="6049C93D"/>
    <w:lvl w:ilvl="0" w:tentative="0">
      <w:start w:val="3"/>
      <w:numFmt w:val="chineseCounting"/>
      <w:suff w:val="nothing"/>
      <w:lvlText w:val="（%1）"/>
      <w:lvlJc w:val="left"/>
    </w:lvl>
  </w:abstractNum>
  <w:abstractNum w:abstractNumId="2">
    <w:nsid w:val="6049C97A"/>
    <w:multiLevelType w:val="singleLevel"/>
    <w:tmpl w:val="6049C97A"/>
    <w:lvl w:ilvl="0" w:tentative="0">
      <w:start w:val="1"/>
      <w:numFmt w:val="chineseCounting"/>
      <w:suff w:val="nothing"/>
      <w:lvlText w:val="（%1）"/>
      <w:lvlJc w:val="left"/>
    </w:lvl>
  </w:abstractNum>
  <w:abstractNum w:abstractNumId="3">
    <w:nsid w:val="60D59442"/>
    <w:multiLevelType w:val="singleLevel"/>
    <w:tmpl w:val="60D59442"/>
    <w:lvl w:ilvl="0" w:tentative="0">
      <w:start w:val="1"/>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71928"/>
    <w:rsid w:val="00895AB8"/>
    <w:rsid w:val="00DF4D00"/>
    <w:rsid w:val="010141D7"/>
    <w:rsid w:val="01997D61"/>
    <w:rsid w:val="01B62311"/>
    <w:rsid w:val="01D72E85"/>
    <w:rsid w:val="02114115"/>
    <w:rsid w:val="02325486"/>
    <w:rsid w:val="03A22851"/>
    <w:rsid w:val="03CA251B"/>
    <w:rsid w:val="03F55DD1"/>
    <w:rsid w:val="045029CE"/>
    <w:rsid w:val="04505075"/>
    <w:rsid w:val="04837F4F"/>
    <w:rsid w:val="04C0506B"/>
    <w:rsid w:val="04EA2C64"/>
    <w:rsid w:val="052B4C41"/>
    <w:rsid w:val="05C06433"/>
    <w:rsid w:val="06037F78"/>
    <w:rsid w:val="067D515F"/>
    <w:rsid w:val="06B343CE"/>
    <w:rsid w:val="075A7428"/>
    <w:rsid w:val="07B41A72"/>
    <w:rsid w:val="07CE10A6"/>
    <w:rsid w:val="082F75B1"/>
    <w:rsid w:val="08780AF0"/>
    <w:rsid w:val="08E033C0"/>
    <w:rsid w:val="0929471E"/>
    <w:rsid w:val="096E504F"/>
    <w:rsid w:val="09997924"/>
    <w:rsid w:val="09DB3C70"/>
    <w:rsid w:val="0A693F79"/>
    <w:rsid w:val="0A9C15D1"/>
    <w:rsid w:val="0AA8414B"/>
    <w:rsid w:val="0AF31EAF"/>
    <w:rsid w:val="0BB85C66"/>
    <w:rsid w:val="0BE53C6B"/>
    <w:rsid w:val="0C706453"/>
    <w:rsid w:val="0C7F547A"/>
    <w:rsid w:val="0C891E0B"/>
    <w:rsid w:val="0CCB31AC"/>
    <w:rsid w:val="0D955CFF"/>
    <w:rsid w:val="0DA77804"/>
    <w:rsid w:val="0E1E5C24"/>
    <w:rsid w:val="0E2275C5"/>
    <w:rsid w:val="0E5D6561"/>
    <w:rsid w:val="0EB75608"/>
    <w:rsid w:val="0EC46561"/>
    <w:rsid w:val="0F0670C3"/>
    <w:rsid w:val="0F1F6152"/>
    <w:rsid w:val="0F4E66DE"/>
    <w:rsid w:val="0F6142C0"/>
    <w:rsid w:val="0FC21B1B"/>
    <w:rsid w:val="10466B61"/>
    <w:rsid w:val="104F30D8"/>
    <w:rsid w:val="10627C52"/>
    <w:rsid w:val="10B04336"/>
    <w:rsid w:val="115F58C6"/>
    <w:rsid w:val="118D6ECC"/>
    <w:rsid w:val="11E543C8"/>
    <w:rsid w:val="12273347"/>
    <w:rsid w:val="123055B8"/>
    <w:rsid w:val="12A83C8C"/>
    <w:rsid w:val="12D05F4E"/>
    <w:rsid w:val="12EF31AB"/>
    <w:rsid w:val="13524DAE"/>
    <w:rsid w:val="13E33879"/>
    <w:rsid w:val="144C456D"/>
    <w:rsid w:val="145F0522"/>
    <w:rsid w:val="14F2177B"/>
    <w:rsid w:val="150610CD"/>
    <w:rsid w:val="151216B7"/>
    <w:rsid w:val="15A70A04"/>
    <w:rsid w:val="15B522F6"/>
    <w:rsid w:val="161579A8"/>
    <w:rsid w:val="16181368"/>
    <w:rsid w:val="16A850F3"/>
    <w:rsid w:val="16C7219B"/>
    <w:rsid w:val="17022763"/>
    <w:rsid w:val="17344F8F"/>
    <w:rsid w:val="175761B2"/>
    <w:rsid w:val="17A057F3"/>
    <w:rsid w:val="17C8763E"/>
    <w:rsid w:val="17D22DD1"/>
    <w:rsid w:val="17FE1650"/>
    <w:rsid w:val="18260D66"/>
    <w:rsid w:val="182E4D6D"/>
    <w:rsid w:val="18593515"/>
    <w:rsid w:val="1899328A"/>
    <w:rsid w:val="18B22DF4"/>
    <w:rsid w:val="18B34994"/>
    <w:rsid w:val="1913674D"/>
    <w:rsid w:val="193F3930"/>
    <w:rsid w:val="195D48F3"/>
    <w:rsid w:val="19BC00CE"/>
    <w:rsid w:val="1A064073"/>
    <w:rsid w:val="1A0A7163"/>
    <w:rsid w:val="1AED1662"/>
    <w:rsid w:val="1AF36E92"/>
    <w:rsid w:val="1B253BEE"/>
    <w:rsid w:val="1B49463A"/>
    <w:rsid w:val="1BFF0B66"/>
    <w:rsid w:val="1CB41F51"/>
    <w:rsid w:val="1CB9397D"/>
    <w:rsid w:val="1CE522F6"/>
    <w:rsid w:val="1D326DF4"/>
    <w:rsid w:val="1D7C3455"/>
    <w:rsid w:val="1DC60913"/>
    <w:rsid w:val="1DF61034"/>
    <w:rsid w:val="1E0E1F7F"/>
    <w:rsid w:val="1ECF5F8D"/>
    <w:rsid w:val="1EEB596B"/>
    <w:rsid w:val="1F173C74"/>
    <w:rsid w:val="1FB77152"/>
    <w:rsid w:val="203340D6"/>
    <w:rsid w:val="20420381"/>
    <w:rsid w:val="2074688D"/>
    <w:rsid w:val="209C4248"/>
    <w:rsid w:val="20B23D12"/>
    <w:rsid w:val="21120090"/>
    <w:rsid w:val="21337462"/>
    <w:rsid w:val="214C7AA9"/>
    <w:rsid w:val="21565589"/>
    <w:rsid w:val="21584201"/>
    <w:rsid w:val="21D97D7F"/>
    <w:rsid w:val="21FC4711"/>
    <w:rsid w:val="2205431C"/>
    <w:rsid w:val="22461304"/>
    <w:rsid w:val="22D254D2"/>
    <w:rsid w:val="22DD0AF9"/>
    <w:rsid w:val="231132BF"/>
    <w:rsid w:val="23490A08"/>
    <w:rsid w:val="23EB332B"/>
    <w:rsid w:val="243E529D"/>
    <w:rsid w:val="248212F0"/>
    <w:rsid w:val="24B27AAA"/>
    <w:rsid w:val="251A2298"/>
    <w:rsid w:val="251B146D"/>
    <w:rsid w:val="255F507C"/>
    <w:rsid w:val="258D41BE"/>
    <w:rsid w:val="25CB2ADD"/>
    <w:rsid w:val="26025BD1"/>
    <w:rsid w:val="261778C8"/>
    <w:rsid w:val="261C5F49"/>
    <w:rsid w:val="262B7D9D"/>
    <w:rsid w:val="268277DE"/>
    <w:rsid w:val="26867546"/>
    <w:rsid w:val="26906E52"/>
    <w:rsid w:val="26A444AD"/>
    <w:rsid w:val="26D17133"/>
    <w:rsid w:val="271E595D"/>
    <w:rsid w:val="2731596A"/>
    <w:rsid w:val="27944984"/>
    <w:rsid w:val="279E66FD"/>
    <w:rsid w:val="27C915B0"/>
    <w:rsid w:val="280B70C9"/>
    <w:rsid w:val="283F5DD3"/>
    <w:rsid w:val="28502D5B"/>
    <w:rsid w:val="2873036A"/>
    <w:rsid w:val="28820F09"/>
    <w:rsid w:val="28B73A06"/>
    <w:rsid w:val="28C43551"/>
    <w:rsid w:val="291C2AE5"/>
    <w:rsid w:val="294359EA"/>
    <w:rsid w:val="296C72A1"/>
    <w:rsid w:val="2A842D66"/>
    <w:rsid w:val="2A8514B1"/>
    <w:rsid w:val="2AC6738C"/>
    <w:rsid w:val="2B1446EA"/>
    <w:rsid w:val="2B3B61BF"/>
    <w:rsid w:val="2BA42543"/>
    <w:rsid w:val="2BBE1DC3"/>
    <w:rsid w:val="2BF21495"/>
    <w:rsid w:val="2C3A0757"/>
    <w:rsid w:val="2CA6296F"/>
    <w:rsid w:val="2CB164D3"/>
    <w:rsid w:val="2CEA4D9C"/>
    <w:rsid w:val="2D255557"/>
    <w:rsid w:val="2DA02C0E"/>
    <w:rsid w:val="2DA81C1F"/>
    <w:rsid w:val="2DAC1AFF"/>
    <w:rsid w:val="2DC95875"/>
    <w:rsid w:val="2DF118D0"/>
    <w:rsid w:val="2DFD737A"/>
    <w:rsid w:val="2F5C1283"/>
    <w:rsid w:val="2F89644C"/>
    <w:rsid w:val="2FA1479B"/>
    <w:rsid w:val="2FC52E9A"/>
    <w:rsid w:val="2FD10EF9"/>
    <w:rsid w:val="30217A51"/>
    <w:rsid w:val="30824B50"/>
    <w:rsid w:val="30C81C0C"/>
    <w:rsid w:val="315C7A2F"/>
    <w:rsid w:val="31A00DDF"/>
    <w:rsid w:val="31B274EF"/>
    <w:rsid w:val="31CD3FE2"/>
    <w:rsid w:val="31E4302D"/>
    <w:rsid w:val="32057930"/>
    <w:rsid w:val="32531786"/>
    <w:rsid w:val="328939FB"/>
    <w:rsid w:val="32BA70D8"/>
    <w:rsid w:val="33363F6E"/>
    <w:rsid w:val="338A023C"/>
    <w:rsid w:val="339915E7"/>
    <w:rsid w:val="339D15B9"/>
    <w:rsid w:val="33AB729C"/>
    <w:rsid w:val="33B83D30"/>
    <w:rsid w:val="340E65F8"/>
    <w:rsid w:val="344E73E2"/>
    <w:rsid w:val="347D646C"/>
    <w:rsid w:val="34840962"/>
    <w:rsid w:val="348D3ECA"/>
    <w:rsid w:val="355265CA"/>
    <w:rsid w:val="35A3594D"/>
    <w:rsid w:val="362150C0"/>
    <w:rsid w:val="365524E0"/>
    <w:rsid w:val="36991FD2"/>
    <w:rsid w:val="36CF2082"/>
    <w:rsid w:val="36D509F4"/>
    <w:rsid w:val="36E477A7"/>
    <w:rsid w:val="37596B65"/>
    <w:rsid w:val="37802223"/>
    <w:rsid w:val="37EE4D01"/>
    <w:rsid w:val="383427D5"/>
    <w:rsid w:val="38641AB9"/>
    <w:rsid w:val="388F37FA"/>
    <w:rsid w:val="39413FAF"/>
    <w:rsid w:val="397D2279"/>
    <w:rsid w:val="39B436D8"/>
    <w:rsid w:val="39E80376"/>
    <w:rsid w:val="39E81C12"/>
    <w:rsid w:val="3A3823E1"/>
    <w:rsid w:val="3A925E41"/>
    <w:rsid w:val="3AF27D6A"/>
    <w:rsid w:val="3BE02133"/>
    <w:rsid w:val="3C152A78"/>
    <w:rsid w:val="3C373B86"/>
    <w:rsid w:val="3C701C0B"/>
    <w:rsid w:val="3CBB20F3"/>
    <w:rsid w:val="3CE36639"/>
    <w:rsid w:val="3D7A39CC"/>
    <w:rsid w:val="3D871AE6"/>
    <w:rsid w:val="3D9062D9"/>
    <w:rsid w:val="3DE77DD7"/>
    <w:rsid w:val="3DEA0FC7"/>
    <w:rsid w:val="3DFA6341"/>
    <w:rsid w:val="3E6B7663"/>
    <w:rsid w:val="3E99307B"/>
    <w:rsid w:val="3F2A07E2"/>
    <w:rsid w:val="3F5138B4"/>
    <w:rsid w:val="3F824694"/>
    <w:rsid w:val="40540B6F"/>
    <w:rsid w:val="40616A3A"/>
    <w:rsid w:val="408C7983"/>
    <w:rsid w:val="41BC7CBF"/>
    <w:rsid w:val="41D40906"/>
    <w:rsid w:val="41DA7DAA"/>
    <w:rsid w:val="421D3953"/>
    <w:rsid w:val="4258330E"/>
    <w:rsid w:val="42C81298"/>
    <w:rsid w:val="42F71928"/>
    <w:rsid w:val="430A52D2"/>
    <w:rsid w:val="43135040"/>
    <w:rsid w:val="432863C2"/>
    <w:rsid w:val="43410FDB"/>
    <w:rsid w:val="435373B4"/>
    <w:rsid w:val="43643817"/>
    <w:rsid w:val="43A9463A"/>
    <w:rsid w:val="441C0DFF"/>
    <w:rsid w:val="447309B4"/>
    <w:rsid w:val="44BD36E8"/>
    <w:rsid w:val="44DA73C0"/>
    <w:rsid w:val="45422133"/>
    <w:rsid w:val="45B27004"/>
    <w:rsid w:val="45C74BFE"/>
    <w:rsid w:val="45CA733A"/>
    <w:rsid w:val="465F5C81"/>
    <w:rsid w:val="46C50EE2"/>
    <w:rsid w:val="46E96C7A"/>
    <w:rsid w:val="472410D0"/>
    <w:rsid w:val="47526C4C"/>
    <w:rsid w:val="480E020F"/>
    <w:rsid w:val="481D1516"/>
    <w:rsid w:val="481E64BE"/>
    <w:rsid w:val="48AB131E"/>
    <w:rsid w:val="48B62CD2"/>
    <w:rsid w:val="48CA22A6"/>
    <w:rsid w:val="48D460D1"/>
    <w:rsid w:val="494005F9"/>
    <w:rsid w:val="4A9906B2"/>
    <w:rsid w:val="4AB410DD"/>
    <w:rsid w:val="4B5C7F59"/>
    <w:rsid w:val="4B600DE3"/>
    <w:rsid w:val="4BDD7B98"/>
    <w:rsid w:val="4BF93336"/>
    <w:rsid w:val="4BFF03A4"/>
    <w:rsid w:val="4C165954"/>
    <w:rsid w:val="4C1F3B3F"/>
    <w:rsid w:val="4C38772E"/>
    <w:rsid w:val="4C7703EF"/>
    <w:rsid w:val="4CCB1E60"/>
    <w:rsid w:val="4D6134CF"/>
    <w:rsid w:val="4DE651A3"/>
    <w:rsid w:val="4E1B036D"/>
    <w:rsid w:val="4E620F4C"/>
    <w:rsid w:val="4E915F79"/>
    <w:rsid w:val="4E9D3790"/>
    <w:rsid w:val="4ECC20E7"/>
    <w:rsid w:val="4F561EB8"/>
    <w:rsid w:val="500023CA"/>
    <w:rsid w:val="50D6576F"/>
    <w:rsid w:val="50E25696"/>
    <w:rsid w:val="514D3F82"/>
    <w:rsid w:val="515C052C"/>
    <w:rsid w:val="51F100BD"/>
    <w:rsid w:val="51FE0F78"/>
    <w:rsid w:val="52E31727"/>
    <w:rsid w:val="532D7201"/>
    <w:rsid w:val="536553C1"/>
    <w:rsid w:val="53A3234F"/>
    <w:rsid w:val="54217E99"/>
    <w:rsid w:val="548E524F"/>
    <w:rsid w:val="548F00AA"/>
    <w:rsid w:val="54DF36C3"/>
    <w:rsid w:val="54EA2F5D"/>
    <w:rsid w:val="554A4BF9"/>
    <w:rsid w:val="55537841"/>
    <w:rsid w:val="557C1B59"/>
    <w:rsid w:val="559C1E21"/>
    <w:rsid w:val="55CE6FA9"/>
    <w:rsid w:val="56267C47"/>
    <w:rsid w:val="564717E3"/>
    <w:rsid w:val="568C4D7A"/>
    <w:rsid w:val="56A3111F"/>
    <w:rsid w:val="57B570A5"/>
    <w:rsid w:val="57BE4DDE"/>
    <w:rsid w:val="57E864FD"/>
    <w:rsid w:val="58375970"/>
    <w:rsid w:val="58B91E28"/>
    <w:rsid w:val="58EC4991"/>
    <w:rsid w:val="593D4D4E"/>
    <w:rsid w:val="59450348"/>
    <w:rsid w:val="596D302D"/>
    <w:rsid w:val="597C73CF"/>
    <w:rsid w:val="5A683819"/>
    <w:rsid w:val="5AA86BD7"/>
    <w:rsid w:val="5ACA7C0B"/>
    <w:rsid w:val="5B0427DD"/>
    <w:rsid w:val="5B1867EF"/>
    <w:rsid w:val="5B650D5F"/>
    <w:rsid w:val="5C0D4E09"/>
    <w:rsid w:val="5C1B58FF"/>
    <w:rsid w:val="5C4D3E8D"/>
    <w:rsid w:val="5C9F2E27"/>
    <w:rsid w:val="5CA92BCC"/>
    <w:rsid w:val="5CCA5605"/>
    <w:rsid w:val="5CD33F79"/>
    <w:rsid w:val="5D626DAE"/>
    <w:rsid w:val="5DB01D5D"/>
    <w:rsid w:val="5E1C0B83"/>
    <w:rsid w:val="5E283B0B"/>
    <w:rsid w:val="5E333914"/>
    <w:rsid w:val="5E4D67A8"/>
    <w:rsid w:val="5E6767F8"/>
    <w:rsid w:val="5EAE16B8"/>
    <w:rsid w:val="5EB65A21"/>
    <w:rsid w:val="5ECD31A6"/>
    <w:rsid w:val="5EFC2FF3"/>
    <w:rsid w:val="5F304247"/>
    <w:rsid w:val="5F3F4190"/>
    <w:rsid w:val="5F87708E"/>
    <w:rsid w:val="5FAF5620"/>
    <w:rsid w:val="5FB96467"/>
    <w:rsid w:val="5FF77743"/>
    <w:rsid w:val="600409DF"/>
    <w:rsid w:val="604151C2"/>
    <w:rsid w:val="606B34E1"/>
    <w:rsid w:val="608968D9"/>
    <w:rsid w:val="609969D4"/>
    <w:rsid w:val="60BD4D02"/>
    <w:rsid w:val="60CE3F47"/>
    <w:rsid w:val="60D8292A"/>
    <w:rsid w:val="61304301"/>
    <w:rsid w:val="617D6F22"/>
    <w:rsid w:val="61C27FB0"/>
    <w:rsid w:val="63107310"/>
    <w:rsid w:val="636238B7"/>
    <w:rsid w:val="63993324"/>
    <w:rsid w:val="63C54B72"/>
    <w:rsid w:val="63CD22B2"/>
    <w:rsid w:val="63E04A03"/>
    <w:rsid w:val="63E46055"/>
    <w:rsid w:val="640D5421"/>
    <w:rsid w:val="645E40F0"/>
    <w:rsid w:val="648533B1"/>
    <w:rsid w:val="64987A00"/>
    <w:rsid w:val="64B37F0A"/>
    <w:rsid w:val="64FA7A57"/>
    <w:rsid w:val="65475955"/>
    <w:rsid w:val="65AD6418"/>
    <w:rsid w:val="65CA1E00"/>
    <w:rsid w:val="65F36062"/>
    <w:rsid w:val="661E3E46"/>
    <w:rsid w:val="66204CAB"/>
    <w:rsid w:val="66282F12"/>
    <w:rsid w:val="66A675E5"/>
    <w:rsid w:val="66FC4EB9"/>
    <w:rsid w:val="67762D0E"/>
    <w:rsid w:val="679A2379"/>
    <w:rsid w:val="67AD0E68"/>
    <w:rsid w:val="68E425C8"/>
    <w:rsid w:val="695610A2"/>
    <w:rsid w:val="696F40A1"/>
    <w:rsid w:val="6A1E65D1"/>
    <w:rsid w:val="6A771FFD"/>
    <w:rsid w:val="6B2E0058"/>
    <w:rsid w:val="6B2F4627"/>
    <w:rsid w:val="6B857FB5"/>
    <w:rsid w:val="6C640BC2"/>
    <w:rsid w:val="6C957AE5"/>
    <w:rsid w:val="6CF37538"/>
    <w:rsid w:val="6D5F2BC0"/>
    <w:rsid w:val="6D6D7C3F"/>
    <w:rsid w:val="6DB20981"/>
    <w:rsid w:val="6E103BE2"/>
    <w:rsid w:val="6E106FEE"/>
    <w:rsid w:val="6E240E69"/>
    <w:rsid w:val="6E6E0C96"/>
    <w:rsid w:val="6ED00772"/>
    <w:rsid w:val="6EE23D20"/>
    <w:rsid w:val="6F832269"/>
    <w:rsid w:val="6FE374E0"/>
    <w:rsid w:val="708710FE"/>
    <w:rsid w:val="70B62E31"/>
    <w:rsid w:val="717039AD"/>
    <w:rsid w:val="720015EC"/>
    <w:rsid w:val="720F4844"/>
    <w:rsid w:val="721E393C"/>
    <w:rsid w:val="727A6D5E"/>
    <w:rsid w:val="728527A6"/>
    <w:rsid w:val="72992591"/>
    <w:rsid w:val="72E8399D"/>
    <w:rsid w:val="7305039D"/>
    <w:rsid w:val="730B27C1"/>
    <w:rsid w:val="73533A06"/>
    <w:rsid w:val="73A91971"/>
    <w:rsid w:val="741756CB"/>
    <w:rsid w:val="74401B6E"/>
    <w:rsid w:val="74D077AE"/>
    <w:rsid w:val="74E2100E"/>
    <w:rsid w:val="74F8430A"/>
    <w:rsid w:val="754968FA"/>
    <w:rsid w:val="757268A9"/>
    <w:rsid w:val="75BA2E45"/>
    <w:rsid w:val="75D54C73"/>
    <w:rsid w:val="760074C4"/>
    <w:rsid w:val="7612323D"/>
    <w:rsid w:val="76422A77"/>
    <w:rsid w:val="768C55F3"/>
    <w:rsid w:val="76F00169"/>
    <w:rsid w:val="77805F35"/>
    <w:rsid w:val="77B11D14"/>
    <w:rsid w:val="780475A9"/>
    <w:rsid w:val="780C3143"/>
    <w:rsid w:val="78590BBD"/>
    <w:rsid w:val="78596EE8"/>
    <w:rsid w:val="786D1E9A"/>
    <w:rsid w:val="7880520E"/>
    <w:rsid w:val="78823F92"/>
    <w:rsid w:val="78975611"/>
    <w:rsid w:val="78FB4E90"/>
    <w:rsid w:val="78FD2AD3"/>
    <w:rsid w:val="791A5131"/>
    <w:rsid w:val="796A1DB4"/>
    <w:rsid w:val="79997941"/>
    <w:rsid w:val="79A16A5C"/>
    <w:rsid w:val="7A965962"/>
    <w:rsid w:val="7ABF294D"/>
    <w:rsid w:val="7BFD4ECE"/>
    <w:rsid w:val="7C013F9D"/>
    <w:rsid w:val="7C03587F"/>
    <w:rsid w:val="7C23434A"/>
    <w:rsid w:val="7C54697F"/>
    <w:rsid w:val="7D3C2B9D"/>
    <w:rsid w:val="7DD57FAB"/>
    <w:rsid w:val="7E0A53AF"/>
    <w:rsid w:val="7E297B1E"/>
    <w:rsid w:val="7E496787"/>
    <w:rsid w:val="7E5047E3"/>
    <w:rsid w:val="7E792A95"/>
    <w:rsid w:val="7EE70EE2"/>
    <w:rsid w:val="7F024BAD"/>
    <w:rsid w:val="7F49738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topLinePunct/>
      <w:adjustRightInd w:val="0"/>
      <w:snapToGrid w:val="0"/>
      <w:spacing w:before="100" w:beforeLines="100" w:after="100" w:afterLines="100" w:line="316" w:lineRule="exact"/>
      <w:textAlignment w:val="center"/>
      <w:outlineLvl w:val="1"/>
    </w:pPr>
    <w:rPr>
      <w:rFonts w:eastAsia="楷体_GB2312"/>
      <w:kern w:val="0"/>
      <w:sz w:val="30"/>
      <w:szCs w:val="30"/>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autoSpaceDE w:val="0"/>
      <w:autoSpaceDN w:val="0"/>
      <w:jc w:val="left"/>
    </w:pPr>
    <w:rPr>
      <w:rFonts w:ascii="宋体" w:hAnsi="宋体" w:eastAsia="宋体" w:cs="宋体"/>
      <w:kern w:val="0"/>
      <w:sz w:val="32"/>
      <w:szCs w:val="32"/>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 w:type="character" w:customStyle="1" w:styleId="11">
    <w:name w:val="fontstyle01"/>
    <w:basedOn w:val="8"/>
    <w:qFormat/>
    <w:uiPriority w:val="0"/>
    <w:rPr>
      <w:rFonts w:hint="eastAsia" w:ascii="宋体" w:hAnsi="宋体" w:eastAsia="宋体" w:cs="宋体"/>
      <w:color w:val="00000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2021-03-01T02:34:00Z</dcterms:created>
  <dc:creator>刘晶</dc:creator>
  <cp:lastModifiedBy>刘晶</cp:lastModifiedBy>
  <cp:lastPrinted>2021-07-23T02:45:00Z</cp:lastPrinted>
  <dcterms:modified xsi:type="dcterms:W3CDTF">2021-07-26T09:01:07Z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